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eastAsia="方正小标宋简体"/>
          <w:bCs/>
          <w:color w:val="000000"/>
          <w:kern w:val="0"/>
          <w:sz w:val="44"/>
          <w:szCs w:val="44"/>
        </w:rPr>
      </w:pPr>
      <w:bookmarkStart w:id="0" w:name="_Toc426707699"/>
      <w:bookmarkStart w:id="1" w:name="_Toc39586848"/>
      <w:bookmarkStart w:id="2" w:name="_Toc439327598"/>
      <w:r>
        <w:rPr>
          <w:rFonts w:hAnsi="方正小标宋简体" w:eastAsia="方正小标宋简体"/>
          <w:bCs/>
          <w:color w:val="000000"/>
          <w:kern w:val="0"/>
          <w:sz w:val="44"/>
          <w:szCs w:val="44"/>
        </w:rPr>
        <w:t>浙江工业大学学院（部）、校级直属研究机构</w:t>
      </w:r>
      <w:bookmarkEnd w:id="0"/>
      <w:bookmarkEnd w:id="1"/>
      <w:bookmarkEnd w:id="2"/>
      <w:bookmarkStart w:id="3" w:name="_Toc439321285"/>
      <w:bookmarkStart w:id="4" w:name="_Toc39586849"/>
      <w:bookmarkStart w:id="5" w:name="_Toc439327599"/>
      <w:bookmarkStart w:id="6" w:name="_Toc438021432"/>
      <w:bookmarkStart w:id="7" w:name="_Toc439080038"/>
      <w:r>
        <w:rPr>
          <w:rFonts w:hAnsi="方正小标宋简体" w:eastAsia="方正小标宋简体"/>
          <w:bCs/>
          <w:color w:val="000000"/>
          <w:kern w:val="0"/>
          <w:sz w:val="44"/>
          <w:szCs w:val="44"/>
        </w:rPr>
        <w:t>岗位设置和岗位聘任实施细则</w:t>
      </w:r>
      <w:bookmarkEnd w:id="3"/>
      <w:bookmarkEnd w:id="4"/>
      <w:bookmarkEnd w:id="5"/>
      <w:bookmarkEnd w:id="6"/>
      <w:bookmarkEnd w:id="7"/>
    </w:p>
    <w:p>
      <w:pPr>
        <w:snapToGrid w:val="0"/>
        <w:spacing w:line="500" w:lineRule="exact"/>
        <w:ind w:firstLine="600" w:firstLineChars="200"/>
        <w:rPr>
          <w:bCs/>
          <w:color w:val="000000"/>
          <w:sz w:val="30"/>
          <w:szCs w:val="30"/>
        </w:rPr>
      </w:pPr>
    </w:p>
    <w:p>
      <w:pPr>
        <w:keepNext w:val="0"/>
        <w:keepLines w:val="0"/>
        <w:pageBreakBefore w:val="0"/>
        <w:widowControl w:val="0"/>
        <w:kinsoku/>
        <w:wordWrap/>
        <w:overflowPunct/>
        <w:topLinePunct w:val="0"/>
        <w:autoSpaceDE/>
        <w:autoSpaceDN/>
        <w:bidi w:val="0"/>
        <w:adjustRightInd/>
        <w:snapToGrid/>
        <w:spacing w:line="600" w:lineRule="exact"/>
        <w:ind w:firstLine="555"/>
        <w:jc w:val="left"/>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为进一步完善学院（部）、校级直属研究机构的岗位设置与岗位聘任工作，充分调动和激发广大教师的积极性和创造性，加快实现学校发展目标，根据《浙江工业大学第八轮岗位设置与岗位聘任制度实施意见》等文件精神，经学校研究，特制定本实施细则。</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196"/>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一、基本原则</w:t>
      </w:r>
    </w:p>
    <w:p>
      <w:pPr>
        <w:keepNext w:val="0"/>
        <w:keepLines w:val="0"/>
        <w:pageBreakBefore w:val="0"/>
        <w:widowControl w:val="0"/>
        <w:kinsoku/>
        <w:wordWrap/>
        <w:overflowPunct/>
        <w:topLinePunct w:val="0"/>
        <w:autoSpaceDE/>
        <w:autoSpaceDN/>
        <w:bidi w:val="0"/>
        <w:adjustRightInd/>
        <w:snapToGrid/>
        <w:spacing w:line="600" w:lineRule="exact"/>
        <w:ind w:firstLine="555"/>
        <w:jc w:val="left"/>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根据学校确定的战略目标和核心指标，根据不同学院的发展历史和学科差异，按照“基于水平、需求确定目标，根据目标确定投入”的思路，形成“按使命分层，按职责分类”的学科、学院分类发展体系。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
          <w:bCs/>
          <w:color w:val="000000"/>
          <w:sz w:val="32"/>
          <w:szCs w:val="32"/>
        </w:rPr>
        <w:t>分类设岗。</w:t>
      </w:r>
      <w:r>
        <w:rPr>
          <w:rFonts w:hint="default" w:ascii="Times New Roman" w:hAnsi="Times New Roman" w:eastAsia="仿宋_GB2312" w:cs="Times New Roman"/>
          <w:bCs/>
          <w:color w:val="000000"/>
          <w:sz w:val="32"/>
          <w:szCs w:val="32"/>
        </w:rPr>
        <w:t>统筹学科专业建设、教学、科研、管理和服务等现状和发展任务，完善学院、学科分类设岗、分类评价机制，充分释放基层组织的活力，激发全体教职工追求卓越的主动性和积极性。</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
          <w:bCs/>
          <w:color w:val="000000"/>
          <w:sz w:val="32"/>
          <w:szCs w:val="32"/>
        </w:rPr>
        <w:t>分层赋权。</w:t>
      </w:r>
      <w:r>
        <w:rPr>
          <w:rFonts w:hint="default" w:ascii="Times New Roman" w:hAnsi="Times New Roman" w:eastAsia="仿宋_GB2312" w:cs="Times New Roman"/>
          <w:color w:val="000000"/>
          <w:sz w:val="32"/>
          <w:szCs w:val="32"/>
        </w:rPr>
        <w:t>以一流学科建设为主线，强化学科建设龙头地位</w:t>
      </w:r>
      <w:r>
        <w:rPr>
          <w:rFonts w:hint="default" w:ascii="Times New Roman" w:hAnsi="Times New Roman" w:eastAsia="仿宋_GB2312" w:cs="Times New Roman"/>
          <w:bCs/>
          <w:color w:val="000000"/>
          <w:sz w:val="32"/>
          <w:szCs w:val="32"/>
        </w:rPr>
        <w:t>，充分发挥学科自身发展的主体性、主动性，根据各学科不同的发展目标、发展层次，赋予学科、学院不同的岗位设置、岗位聘任等权限，进一步聚焦方向冲刺一流，进一步集中资源重点建设。</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
          <w:bCs/>
          <w:color w:val="000000"/>
          <w:sz w:val="32"/>
          <w:szCs w:val="32"/>
        </w:rPr>
        <w:t>分级考核。</w:t>
      </w:r>
      <w:r>
        <w:rPr>
          <w:rFonts w:hint="default" w:ascii="Times New Roman" w:hAnsi="Times New Roman" w:eastAsia="仿宋_GB2312" w:cs="Times New Roman"/>
          <w:bCs/>
          <w:color w:val="000000"/>
          <w:sz w:val="32"/>
          <w:szCs w:val="32"/>
        </w:rPr>
        <w:t>尊重人才成长规律，优化考核评价机制，强化岗位责任意识，按照不同岗位特点和要求，实行分类管理和分级考核，统筹队伍建设，促进协调发展。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二、</w:t>
      </w:r>
      <w:r>
        <w:rPr>
          <w:rFonts w:hint="default" w:ascii="Times New Roman" w:hAnsi="Times New Roman" w:eastAsia="仿宋_GB2312" w:cs="Times New Roman"/>
          <w:b/>
          <w:bCs/>
          <w:color w:val="000000"/>
          <w:sz w:val="32"/>
          <w:szCs w:val="32"/>
        </w:rPr>
        <w:t>岗位核定与设置</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（一）岗位类别</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各学院（部）可设置</w:t>
      </w:r>
      <w:r>
        <w:rPr>
          <w:rFonts w:hint="default" w:ascii="Times New Roman" w:hAnsi="Times New Roman" w:eastAsia="仿宋_GB2312" w:cs="Times New Roman"/>
          <w:b/>
          <w:color w:val="000000"/>
          <w:sz w:val="32"/>
          <w:szCs w:val="32"/>
        </w:rPr>
        <w:t>专业技术</w:t>
      </w:r>
      <w:r>
        <w:rPr>
          <w:rFonts w:hint="default" w:ascii="Times New Roman" w:hAnsi="Times New Roman" w:eastAsia="仿宋_GB2312" w:cs="Times New Roman"/>
          <w:bCs/>
          <w:color w:val="000000"/>
          <w:sz w:val="32"/>
          <w:szCs w:val="32"/>
        </w:rPr>
        <w:t>、</w:t>
      </w:r>
      <w:r>
        <w:rPr>
          <w:rFonts w:hint="default" w:ascii="Times New Roman" w:hAnsi="Times New Roman" w:eastAsia="仿宋_GB2312" w:cs="Times New Roman"/>
          <w:b/>
          <w:color w:val="000000"/>
          <w:sz w:val="32"/>
          <w:szCs w:val="32"/>
        </w:rPr>
        <w:t>管理</w:t>
      </w:r>
      <w:r>
        <w:rPr>
          <w:rFonts w:hint="default" w:ascii="Times New Roman" w:hAnsi="Times New Roman" w:eastAsia="仿宋_GB2312" w:cs="Times New Roman"/>
          <w:bCs/>
          <w:color w:val="000000"/>
          <w:sz w:val="32"/>
          <w:szCs w:val="32"/>
        </w:rPr>
        <w:t>和</w:t>
      </w:r>
      <w:r>
        <w:rPr>
          <w:rFonts w:hint="default" w:ascii="Times New Roman" w:hAnsi="Times New Roman" w:eastAsia="仿宋_GB2312" w:cs="Times New Roman"/>
          <w:b/>
          <w:color w:val="000000"/>
          <w:sz w:val="32"/>
          <w:szCs w:val="32"/>
        </w:rPr>
        <w:t>工勤技能</w:t>
      </w:r>
      <w:r>
        <w:rPr>
          <w:rFonts w:hint="default" w:ascii="Times New Roman" w:hAnsi="Times New Roman" w:eastAsia="仿宋_GB2312" w:cs="Times New Roman"/>
          <w:bCs/>
          <w:color w:val="000000"/>
          <w:sz w:val="32"/>
          <w:szCs w:val="32"/>
        </w:rPr>
        <w:t>三种类别岗位。</w:t>
      </w:r>
    </w:p>
    <w:p>
      <w:pPr>
        <w:keepNext w:val="0"/>
        <w:keepLines w:val="0"/>
        <w:pageBreakBefore w:val="0"/>
        <w:widowControl w:val="0"/>
        <w:kinsoku/>
        <w:wordWrap/>
        <w:overflowPunct/>
        <w:topLinePunct w:val="0"/>
        <w:autoSpaceDE/>
        <w:autoSpaceDN/>
        <w:bidi w:val="0"/>
        <w:adjustRightInd/>
        <w:snapToGrid/>
        <w:spacing w:line="600" w:lineRule="exact"/>
        <w:ind w:firstLine="555"/>
        <w:jc w:val="left"/>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1.专业技术岗位包括教师岗位（含专职研究岗位）和其他专业技术岗位。专职研究岗位主要依托省部级及以上实验室、工程技术中心等平台进行设置。其他专业技术岗位指辅助教育教学和科学研究工作的专业技术岗位，主要包括工程、实验等专业技术岗位。</w:t>
      </w:r>
    </w:p>
    <w:p>
      <w:pPr>
        <w:keepNext w:val="0"/>
        <w:keepLines w:val="0"/>
        <w:pageBreakBefore w:val="0"/>
        <w:widowControl w:val="0"/>
        <w:kinsoku/>
        <w:wordWrap/>
        <w:overflowPunct/>
        <w:topLinePunct w:val="0"/>
        <w:autoSpaceDE/>
        <w:autoSpaceDN/>
        <w:bidi w:val="0"/>
        <w:adjustRightInd/>
        <w:snapToGrid/>
        <w:spacing w:line="600" w:lineRule="exact"/>
        <w:ind w:firstLine="555"/>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各学院（部）根据教师在教育教学、科学研究、社会服务等方面所侧重承担的主要职责，在教师高级岗位（不含学生思想政治教育系列）中可设置</w:t>
      </w:r>
      <w:r>
        <w:rPr>
          <w:rFonts w:hint="default" w:ascii="Times New Roman" w:hAnsi="Times New Roman" w:eastAsia="仿宋_GB2312" w:cs="Times New Roman"/>
          <w:bCs/>
          <w:color w:val="000000"/>
          <w:sz w:val="32"/>
          <w:szCs w:val="32"/>
        </w:rPr>
        <w:t>教学科研型、教学为主型、科研为主型</w:t>
      </w:r>
      <w:r>
        <w:rPr>
          <w:rFonts w:hint="default" w:ascii="Times New Roman" w:hAnsi="Times New Roman" w:eastAsia="仿宋_GB2312" w:cs="Times New Roman"/>
          <w:color w:val="000000"/>
          <w:kern w:val="0"/>
          <w:sz w:val="32"/>
          <w:szCs w:val="32"/>
        </w:rPr>
        <w:t>、社会服务与推广</w:t>
      </w:r>
      <w:r>
        <w:rPr>
          <w:rFonts w:hint="default" w:ascii="Times New Roman" w:hAnsi="Times New Roman" w:eastAsia="仿宋_GB2312" w:cs="Times New Roman"/>
          <w:color w:val="000000"/>
          <w:sz w:val="32"/>
          <w:szCs w:val="32"/>
        </w:rPr>
        <w:t>型等</w:t>
      </w:r>
      <w:r>
        <w:rPr>
          <w:rFonts w:hint="default" w:ascii="Times New Roman" w:hAnsi="Times New Roman" w:eastAsia="仿宋_GB2312" w:cs="Times New Roman"/>
          <w:bCs/>
          <w:color w:val="000000"/>
          <w:sz w:val="32"/>
          <w:szCs w:val="32"/>
        </w:rPr>
        <w:t>类型。</w:t>
      </w:r>
    </w:p>
    <w:p>
      <w:pPr>
        <w:keepNext w:val="0"/>
        <w:keepLines w:val="0"/>
        <w:pageBreakBefore w:val="0"/>
        <w:widowControl w:val="0"/>
        <w:kinsoku/>
        <w:wordWrap/>
        <w:overflowPunct/>
        <w:topLinePunct w:val="0"/>
        <w:autoSpaceDE/>
        <w:autoSpaceDN/>
        <w:bidi w:val="0"/>
        <w:adjustRightInd/>
        <w:snapToGrid/>
        <w:spacing w:line="600" w:lineRule="exact"/>
        <w:ind w:firstLine="555"/>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w:t>
      </w:r>
      <w:r>
        <w:rPr>
          <w:rFonts w:hint="default" w:ascii="Times New Roman" w:hAnsi="Times New Roman" w:eastAsia="仿宋_GB2312" w:cs="Times New Roman"/>
          <w:b/>
          <w:bCs/>
          <w:color w:val="000000"/>
          <w:kern w:val="0"/>
          <w:sz w:val="32"/>
          <w:szCs w:val="32"/>
        </w:rPr>
        <w:t>教学科研型岗位</w:t>
      </w:r>
      <w:r>
        <w:rPr>
          <w:rFonts w:hint="default" w:ascii="Times New Roman" w:hAnsi="Times New Roman" w:eastAsia="仿宋_GB2312" w:cs="Times New Roman"/>
          <w:color w:val="000000"/>
          <w:kern w:val="0"/>
          <w:sz w:val="32"/>
          <w:szCs w:val="32"/>
        </w:rPr>
        <w:t>：同时承担本科教学和科学研究工作。</w:t>
      </w:r>
      <w:r>
        <w:rPr>
          <w:rFonts w:hint="default" w:ascii="Times New Roman" w:hAnsi="Times New Roman" w:eastAsia="仿宋_GB2312" w:cs="Times New Roman"/>
          <w:bCs/>
          <w:color w:val="000000"/>
          <w:kern w:val="0"/>
          <w:sz w:val="32"/>
          <w:szCs w:val="32"/>
        </w:rPr>
        <w:t>教学科研型岗位教师均应承担</w:t>
      </w:r>
      <w:r>
        <w:rPr>
          <w:rFonts w:hint="default" w:ascii="Times New Roman" w:hAnsi="Times New Roman" w:eastAsia="仿宋_GB2312" w:cs="Times New Roman"/>
          <w:color w:val="000000"/>
          <w:kern w:val="0"/>
          <w:sz w:val="32"/>
          <w:szCs w:val="32"/>
        </w:rPr>
        <w:t>本科课程（研究生公共学位课）</w:t>
      </w:r>
      <w:r>
        <w:rPr>
          <w:rFonts w:hint="default" w:ascii="Times New Roman" w:hAnsi="Times New Roman" w:eastAsia="仿宋_GB2312" w:cs="Times New Roman"/>
          <w:bCs/>
          <w:color w:val="000000"/>
          <w:kern w:val="0"/>
          <w:sz w:val="32"/>
          <w:szCs w:val="32"/>
        </w:rPr>
        <w:t>教学工作任务</w:t>
      </w:r>
      <w:r>
        <w:rPr>
          <w:rFonts w:hint="default" w:ascii="Times New Roman" w:hAnsi="Times New Roman" w:eastAsia="仿宋_GB2312" w:cs="Times New Roman"/>
          <w:color w:val="000000"/>
          <w:kern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555"/>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w:t>
      </w:r>
      <w:r>
        <w:rPr>
          <w:rFonts w:hint="default" w:ascii="Times New Roman" w:hAnsi="Times New Roman" w:eastAsia="仿宋_GB2312" w:cs="Times New Roman"/>
          <w:b/>
          <w:bCs/>
          <w:color w:val="000000"/>
          <w:kern w:val="0"/>
          <w:sz w:val="32"/>
          <w:szCs w:val="32"/>
        </w:rPr>
        <w:t>教学为主型岗位</w:t>
      </w:r>
      <w:r>
        <w:rPr>
          <w:rFonts w:hint="default" w:ascii="Times New Roman" w:hAnsi="Times New Roman" w:eastAsia="仿宋_GB2312" w:cs="Times New Roman"/>
          <w:color w:val="000000"/>
          <w:kern w:val="0"/>
          <w:sz w:val="32"/>
          <w:szCs w:val="32"/>
        </w:rPr>
        <w:t>：指较长时间从事本科教学，特别是从事基础课、公共课教学，承担的教学工作量在学校同类教师平均水平以上或承担相关的教学管理工作，同时承担一定的科研工作，注重教学改革与研究，教学效果好，学生评价高。</w:t>
      </w:r>
    </w:p>
    <w:p>
      <w:pPr>
        <w:keepNext w:val="0"/>
        <w:keepLines w:val="0"/>
        <w:pageBreakBefore w:val="0"/>
        <w:widowControl w:val="0"/>
        <w:kinsoku/>
        <w:wordWrap/>
        <w:overflowPunct/>
        <w:topLinePunct w:val="0"/>
        <w:autoSpaceDE/>
        <w:autoSpaceDN/>
        <w:bidi w:val="0"/>
        <w:adjustRightInd/>
        <w:snapToGrid/>
        <w:spacing w:line="600" w:lineRule="exact"/>
        <w:ind w:firstLine="555"/>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w:t>
      </w:r>
      <w:r>
        <w:rPr>
          <w:rFonts w:hint="default" w:ascii="Times New Roman" w:hAnsi="Times New Roman" w:eastAsia="仿宋_GB2312" w:cs="Times New Roman"/>
          <w:b/>
          <w:bCs/>
          <w:color w:val="000000"/>
          <w:kern w:val="0"/>
          <w:sz w:val="32"/>
          <w:szCs w:val="32"/>
        </w:rPr>
        <w:t>科研为主型岗位</w:t>
      </w:r>
      <w:r>
        <w:rPr>
          <w:rFonts w:hint="default" w:ascii="Times New Roman" w:hAnsi="Times New Roman" w:eastAsia="仿宋_GB2312" w:cs="Times New Roman"/>
          <w:color w:val="000000"/>
          <w:kern w:val="0"/>
          <w:sz w:val="32"/>
          <w:szCs w:val="32"/>
        </w:rPr>
        <w:t>：指在完成基本的教学任务外，承担高水平科学研究工作，研究方向（领域）稳定，研究成果突出，具有较强的科研创新性。</w:t>
      </w:r>
    </w:p>
    <w:p>
      <w:pPr>
        <w:keepNext w:val="0"/>
        <w:keepLines w:val="0"/>
        <w:pageBreakBefore w:val="0"/>
        <w:widowControl w:val="0"/>
        <w:kinsoku/>
        <w:wordWrap/>
        <w:overflowPunct/>
        <w:topLinePunct w:val="0"/>
        <w:autoSpaceDE/>
        <w:autoSpaceDN/>
        <w:bidi w:val="0"/>
        <w:adjustRightInd/>
        <w:snapToGrid/>
        <w:spacing w:line="600" w:lineRule="exact"/>
        <w:ind w:firstLine="570"/>
        <w:jc w:val="left"/>
        <w:textAlignment w:val="auto"/>
        <w:rPr>
          <w:rStyle w:val="5"/>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rPr>
        <w:t>（4）</w:t>
      </w:r>
      <w:r>
        <w:rPr>
          <w:rFonts w:hint="default" w:ascii="Times New Roman" w:hAnsi="Times New Roman" w:eastAsia="仿宋_GB2312" w:cs="Times New Roman"/>
          <w:b/>
          <w:bCs/>
          <w:color w:val="000000"/>
          <w:kern w:val="0"/>
          <w:sz w:val="32"/>
          <w:szCs w:val="32"/>
        </w:rPr>
        <w:t>社会服务与推广型岗位</w:t>
      </w:r>
      <w:r>
        <w:rPr>
          <w:rFonts w:hint="default" w:ascii="Times New Roman" w:hAnsi="Times New Roman" w:eastAsia="仿宋_GB2312" w:cs="Times New Roman"/>
          <w:color w:val="000000"/>
          <w:kern w:val="0"/>
          <w:sz w:val="32"/>
          <w:szCs w:val="32"/>
        </w:rPr>
        <w:t>：指在完成基本的教学任务外，主要承担技术转化与推广、公共政策支持、艺术创作与设计、体育服务等社会服务工作。</w:t>
      </w:r>
    </w:p>
    <w:p>
      <w:pPr>
        <w:keepNext w:val="0"/>
        <w:keepLines w:val="0"/>
        <w:pageBreakBefore w:val="0"/>
        <w:widowControl w:val="0"/>
        <w:kinsoku/>
        <w:wordWrap/>
        <w:overflowPunct/>
        <w:topLinePunct w:val="0"/>
        <w:autoSpaceDE/>
        <w:autoSpaceDN/>
        <w:bidi w:val="0"/>
        <w:adjustRightInd/>
        <w:snapToGrid/>
        <w:spacing w:line="600" w:lineRule="exact"/>
        <w:ind w:firstLine="555"/>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校级直属研究机构的专业技术岗位设置以专职研究岗位为主，学生思政教育岗位单列设置。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2.管理岗位包括各学院领导岗位和办公室管理岗位。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3.工勤技能岗位指在各学院中承担技能操作和维护等职责的工作岗位。</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default" w:ascii="Times New Roman" w:hAnsi="Times New Roman" w:eastAsia="仿宋_GB2312" w:cs="Times New Roman"/>
          <w:b/>
          <w:bCs/>
          <w:color w:val="000000"/>
          <w:kern w:val="0"/>
          <w:sz w:val="32"/>
          <w:szCs w:val="32"/>
        </w:rPr>
      </w:pPr>
      <w:r>
        <w:rPr>
          <w:rFonts w:hint="default" w:ascii="Times New Roman" w:hAnsi="Times New Roman" w:eastAsia="仿宋_GB2312" w:cs="Times New Roman"/>
          <w:b/>
          <w:bCs/>
          <w:color w:val="000000"/>
          <w:kern w:val="0"/>
          <w:sz w:val="32"/>
          <w:szCs w:val="32"/>
        </w:rPr>
        <w:t>（二）岗位核定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
          <w:bCs/>
          <w:color w:val="000000"/>
          <w:kern w:val="0"/>
          <w:sz w:val="32"/>
          <w:szCs w:val="32"/>
        </w:rPr>
      </w:pPr>
      <w:r>
        <w:rPr>
          <w:rFonts w:hint="default" w:ascii="Times New Roman" w:hAnsi="Times New Roman" w:eastAsia="仿宋_GB2312" w:cs="Times New Roman"/>
          <w:color w:val="000000"/>
          <w:kern w:val="0"/>
          <w:sz w:val="32"/>
          <w:szCs w:val="32"/>
        </w:rPr>
        <w:t>1.</w:t>
      </w:r>
      <w:r>
        <w:rPr>
          <w:rFonts w:hint="default" w:ascii="Times New Roman" w:hAnsi="Times New Roman" w:eastAsia="仿宋_GB2312" w:cs="Times New Roman"/>
          <w:b/>
          <w:bCs/>
          <w:color w:val="000000"/>
          <w:kern w:val="0"/>
          <w:sz w:val="32"/>
          <w:szCs w:val="32"/>
        </w:rPr>
        <w:t>岗位数量核定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（1）学校依据《浙江工业大学学院（部）岗位编制核定办法》，统计各学院（部）教学、科研等各项工作的承担和完成情况，计算出各学院（部）的基础编制数。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（2）学校按照省主管部门核定的编制数量，根据发展目标、发展阶段、发展重点任务等实际情况，综合确定全校本聘期学院（部）编制总量。</w:t>
      </w:r>
    </w:p>
    <w:p>
      <w:pPr>
        <w:keepNext w:val="0"/>
        <w:keepLines w:val="0"/>
        <w:pageBreakBefore w:val="0"/>
        <w:widowControl w:val="0"/>
        <w:kinsoku/>
        <w:wordWrap/>
        <w:overflowPunct/>
        <w:topLinePunct w:val="0"/>
        <w:autoSpaceDE/>
        <w:autoSpaceDN/>
        <w:bidi w:val="0"/>
        <w:adjustRightInd/>
        <w:snapToGrid/>
        <w:spacing w:line="600" w:lineRule="exact"/>
        <w:ind w:firstLine="555"/>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（3）根据学科分层导向和新一轮任期目标任务，结合学院（部）现有队伍情况，核定各学院（部）的岗位总数。</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rPr>
        <w:t>（</w:t>
      </w:r>
      <w:r>
        <w:rPr>
          <w:rFonts w:hint="eastAsia" w:ascii="Times New Roman" w:hAnsi="Times New Roman"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）核定的学院（部）岗位总数多于实有人数，在不突破核定岗位总数的前提下，按实有人数的120%以内确定本轮可聘岗位数进行聘任</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kern w:val="0"/>
          <w:sz w:val="32"/>
          <w:szCs w:val="32"/>
        </w:rPr>
        <w:t>核定的学院（部）岗位总数</w:t>
      </w:r>
      <w:r>
        <w:rPr>
          <w:rFonts w:hint="default" w:ascii="Times New Roman" w:hAnsi="Times New Roman" w:eastAsia="仿宋_GB2312" w:cs="Times New Roman"/>
          <w:color w:val="000000"/>
          <w:sz w:val="32"/>
          <w:szCs w:val="32"/>
        </w:rPr>
        <w:t>少于实有人数，以核定的岗位总数为本轮可聘岗位数进行聘任。</w:t>
      </w:r>
    </w:p>
    <w:p>
      <w:pPr>
        <w:keepNext w:val="0"/>
        <w:keepLines w:val="0"/>
        <w:pageBreakBefore w:val="0"/>
        <w:widowControl w:val="0"/>
        <w:kinsoku/>
        <w:wordWrap/>
        <w:overflowPunct/>
        <w:topLinePunct w:val="0"/>
        <w:autoSpaceDE/>
        <w:autoSpaceDN/>
        <w:bidi w:val="0"/>
        <w:adjustRightInd/>
        <w:snapToGrid/>
        <w:spacing w:line="600" w:lineRule="exact"/>
        <w:ind w:firstLine="640"/>
        <w:jc w:val="left"/>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color w:val="000000"/>
          <w:sz w:val="32"/>
          <w:szCs w:val="32"/>
        </w:rPr>
        <w:t>（5）</w:t>
      </w:r>
      <w:r>
        <w:rPr>
          <w:rFonts w:hint="default" w:ascii="Times New Roman" w:hAnsi="Times New Roman" w:eastAsia="仿宋_GB2312" w:cs="Times New Roman"/>
          <w:color w:val="000000"/>
          <w:kern w:val="0"/>
          <w:sz w:val="32"/>
          <w:szCs w:val="32"/>
        </w:rPr>
        <w:t>核定的学院（部）岗位总数包含专业技术岗位、管理岗位和工勤技能岗位的数量。管理岗位数及主管、副主管岗位数和工勤技能岗位数参照第七轮岗位配置数，结合实际发展需要，由学校编制委员会核定，具体设置见附表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w:t>
      </w:r>
      <w:r>
        <w:rPr>
          <w:rFonts w:hint="default" w:ascii="Times New Roman" w:hAnsi="Times New Roman" w:eastAsia="仿宋_GB2312" w:cs="Times New Roman"/>
          <w:bCs/>
          <w:color w:val="000000"/>
          <w:sz w:val="32"/>
          <w:szCs w:val="32"/>
        </w:rPr>
        <w:t>校级直属研究机构的专业技术岗位数、管理岗位数由科学技术研究院、社会科学研究院等部门根据其发展目标和建设任务提出，经人事处审核后，报学校</w:t>
      </w:r>
      <w:r>
        <w:rPr>
          <w:rFonts w:hint="default" w:ascii="Times New Roman" w:hAnsi="Times New Roman" w:eastAsia="仿宋_GB2312" w:cs="Times New Roman"/>
          <w:color w:val="000000"/>
          <w:sz w:val="32"/>
          <w:szCs w:val="32"/>
        </w:rPr>
        <w:t>编制委员会</w:t>
      </w:r>
      <w:r>
        <w:rPr>
          <w:rFonts w:hint="default" w:ascii="Times New Roman" w:hAnsi="Times New Roman" w:eastAsia="仿宋_GB2312" w:cs="Times New Roman"/>
          <w:bCs/>
          <w:color w:val="000000"/>
          <w:sz w:val="32"/>
          <w:szCs w:val="32"/>
        </w:rPr>
        <w:t>确定，具体设置见附表2。</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
          <w:color w:val="000000"/>
          <w:sz w:val="32"/>
          <w:szCs w:val="32"/>
        </w:rPr>
        <w:t>2.专业技术岗位等级与岗位结构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1）专业技术岗位分4个层级、13个等级。其中，一至七级为高级岗位，一至四级为正高级岗位层级，五至七级为副高级岗位层级；八至十级为中级岗位层级；十一至十三级为初级岗位层级，其中十三级为员级岗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2）专业技术一级岗位按照国家统一的规定设置和聘任。学校教师岗位二级、三级、四级按1:3:6的结构比例设置，五级、六级、七级岗位按2:4:4的结构比例设置；其他专业技术岗位不设二级岗位，三级、四级岗位原则上按3：7的结构比例设置，五级、六级、七级岗位原则上按1:4:5的结构比例设置。八级、九级、十级岗位按3:4:3的结构比例设置；十一级、十二级岗位按5:5的结构比例设置。</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3.专业技术高级岗位核定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（1）专业技术高级岗位比例由</w:t>
      </w:r>
      <w:r>
        <w:rPr>
          <w:rFonts w:hint="default" w:ascii="Times New Roman" w:hAnsi="Times New Roman" w:eastAsia="仿宋_GB2312" w:cs="Times New Roman"/>
          <w:b/>
          <w:color w:val="000000"/>
          <w:sz w:val="32"/>
          <w:szCs w:val="32"/>
        </w:rPr>
        <w:t>基础比例</w:t>
      </w:r>
      <w:r>
        <w:rPr>
          <w:rFonts w:hint="default" w:ascii="Times New Roman" w:hAnsi="Times New Roman" w:eastAsia="仿宋_GB2312" w:cs="Times New Roman"/>
          <w:bCs/>
          <w:color w:val="000000"/>
          <w:sz w:val="32"/>
          <w:szCs w:val="32"/>
        </w:rPr>
        <w:t>和</w:t>
      </w:r>
      <w:r>
        <w:rPr>
          <w:rFonts w:hint="default" w:ascii="Times New Roman" w:hAnsi="Times New Roman" w:eastAsia="仿宋_GB2312" w:cs="Times New Roman"/>
          <w:b/>
          <w:color w:val="000000"/>
          <w:sz w:val="32"/>
          <w:szCs w:val="32"/>
        </w:rPr>
        <w:t>附加比例（岗位）</w:t>
      </w:r>
      <w:r>
        <w:rPr>
          <w:rFonts w:hint="default" w:ascii="Times New Roman" w:hAnsi="Times New Roman" w:eastAsia="仿宋_GB2312" w:cs="Times New Roman"/>
          <w:bCs/>
          <w:color w:val="000000"/>
          <w:sz w:val="32"/>
          <w:szCs w:val="32"/>
        </w:rPr>
        <w:t>组成。</w:t>
      </w:r>
      <w:r>
        <w:rPr>
          <w:rFonts w:hint="default" w:ascii="Times New Roman" w:hAnsi="Times New Roman" w:eastAsia="仿宋_GB2312" w:cs="Times New Roman"/>
          <w:b/>
          <w:color w:val="000000"/>
          <w:sz w:val="32"/>
          <w:szCs w:val="32"/>
        </w:rPr>
        <w:t>基础比例</w:t>
      </w:r>
      <w:r>
        <w:rPr>
          <w:rFonts w:hint="default" w:ascii="Times New Roman" w:hAnsi="Times New Roman" w:eastAsia="仿宋_GB2312" w:cs="Times New Roman"/>
          <w:bCs/>
          <w:color w:val="000000"/>
          <w:sz w:val="32"/>
          <w:szCs w:val="32"/>
        </w:rPr>
        <w:t>以学科目标定位和现有层次为依据进行分层设置，具体比例以及正副高级岗位相应比例核定标准如表1所示。</w:t>
      </w:r>
    </w:p>
    <w:p>
      <w:pPr>
        <w:snapToGrid w:val="0"/>
        <w:spacing w:line="560" w:lineRule="exact"/>
        <w:jc w:val="center"/>
        <w:rPr>
          <w:rFonts w:hint="default" w:ascii="Times New Roman" w:hAnsi="Times New Roman" w:eastAsia="仿宋_GB2312" w:cs="Times New Roman"/>
          <w:b/>
          <w:bCs/>
          <w:color w:val="000000"/>
          <w:sz w:val="28"/>
          <w:szCs w:val="28"/>
        </w:rPr>
      </w:pPr>
      <w:r>
        <w:rPr>
          <w:rFonts w:hint="default" w:ascii="Times New Roman" w:hAnsi="Times New Roman" w:eastAsia="仿宋_GB2312" w:cs="Times New Roman"/>
          <w:b/>
          <w:bCs/>
          <w:color w:val="000000"/>
          <w:sz w:val="28"/>
          <w:szCs w:val="28"/>
        </w:rPr>
        <w:t>表1：专业技术高级岗位基础比例设置表</w:t>
      </w:r>
    </w:p>
    <w:tbl>
      <w:tblPr>
        <w:tblStyle w:val="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6"/>
        <w:gridCol w:w="1432"/>
        <w:gridCol w:w="1508"/>
        <w:gridCol w:w="1559"/>
        <w:gridCol w:w="1559"/>
        <w:gridCol w:w="1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5" w:hRule="atLeast"/>
          <w:jc w:val="center"/>
        </w:trPr>
        <w:tc>
          <w:tcPr>
            <w:tcW w:w="2128" w:type="dxa"/>
            <w:gridSpan w:val="2"/>
            <w:noWrap w:val="0"/>
            <w:vAlign w:val="top"/>
          </w:tcPr>
          <w:p>
            <w:pPr>
              <w:snapToGrid w:val="0"/>
              <w:spacing w:line="560" w:lineRule="exact"/>
              <w:ind w:firstLine="723" w:firstLineChars="300"/>
              <w:rPr>
                <w:rFonts w:hint="default" w:ascii="Times New Roman" w:hAnsi="Times New Roman" w:eastAsia="仿宋_GB2312" w:cs="Times New Roman"/>
                <w:b/>
                <w:bCs/>
                <w:color w:val="000000"/>
                <w:sz w:val="24"/>
              </w:rPr>
            </w:pPr>
            <w:r>
              <w:rPr>
                <w:rFonts w:hint="default" w:ascii="Times New Roman" w:hAnsi="Times New Roman" w:eastAsia="仿宋_GB2312" w:cs="Times New Roman"/>
                <w:b/>
                <w:bCs/>
                <w:color w:val="000000"/>
                <w:sz w:val="24"/>
              </w:rPr>
              <mc:AlternateContent>
                <mc:Choice Requires="wps">
                  <w:drawing>
                    <wp:anchor distT="0" distB="0" distL="114300" distR="114300" simplePos="0" relativeHeight="251658240" behindDoc="0" locked="0" layoutInCell="1" allowOverlap="1">
                      <wp:simplePos x="0" y="0"/>
                      <wp:positionH relativeFrom="column">
                        <wp:posOffset>-45720</wp:posOffset>
                      </wp:positionH>
                      <wp:positionV relativeFrom="paragraph">
                        <wp:posOffset>27940</wp:posOffset>
                      </wp:positionV>
                      <wp:extent cx="1299210" cy="1660525"/>
                      <wp:effectExtent l="3810" t="3175" r="11430" b="12700"/>
                      <wp:wrapNone/>
                      <wp:docPr id="1" name="直接箭头连接符 1"/>
                      <wp:cNvGraphicFramePr/>
                      <a:graphic xmlns:a="http://schemas.openxmlformats.org/drawingml/2006/main">
                        <a:graphicData uri="http://schemas.microsoft.com/office/word/2010/wordprocessingShape">
                          <wps:wsp>
                            <wps:cNvCnPr/>
                            <wps:spPr>
                              <a:xfrm>
                                <a:off x="0" y="0"/>
                                <a:ext cx="1299210" cy="16605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6pt;margin-top:2.2pt;height:130.75pt;width:102.3pt;z-index:251658240;mso-width-relative:page;mso-height-relative:page;" filled="f" stroked="t" coordsize="21600,21600" o:gfxdata="UEsDBAoAAAAAAIdO4kAAAAAAAAAAAAAAAAAEAAAAZHJzL1BLAwQUAAAACACHTuJA0gEd+9gAAAAI&#10;AQAADwAAAGRycy9kb3ducmV2LnhtbE2PzU7DMBCE70i8g7VIXFBrJ+oPSbOpEBIHjrSVuLrxkqTE&#10;6yh2mtKnxz3BbVYzmvm22F5sJ840+NYxQjJXIIgrZ1quEQ77t9kzCB80G905JoQf8rAt7+8KnRs3&#10;8Qedd6EWsYR9rhGaEPpcSl81ZLWfu544el9usDrEc6ilGfQUy20nU6VW0uqW40Kje3ptqPrejRaB&#10;/LhM1Etm68P7dXr6TK+nqd8jPj4kagMi0CX8heGGH9GhjExHN7LxokOYrdOYRFgsQNzsbB3FESFd&#10;LTOQZSH/P1D+AlBLAwQUAAAACACHTuJAMK/XHuQBAACkAwAADgAAAGRycy9lMm9Eb2MueG1srVNL&#10;jhMxEN0jcQfLe9LdkSYirXRmkTBsEEQCDlDxp9uSf7JNOrkEF0BiBayA1eznNDAcg7ITMnw2CNEL&#10;d9lV77nqVXlxuTea7ESIytmONpOaEmGZ48r2HX354urBQ0piAstBOys6ehCRXi7v31uMvhVTNzjN&#10;RSBIYmM7+o4OKfm2qiIbhIE4cV5YdEoXDCTchr7iAUZkN7qa1vWsGl3gPjgmYsTT9dFJl4VfSsHS&#10;MymjSER3FHNLZQ1l3ea1Wi6g7QP4QbFTGvAPWRhQFi89U60hAXkV1B9URrHgopNpwpypnJSKiVID&#10;VtPUv1XzfAAvSi0oTvRnmeL/o2VPd5tAFMfeUWLBYItu31x/ff3+9vOnL++uv928zfbHD6TJUo0+&#10;tohY2U047aLfhFz3XgaT/1gR2Rd5D2d5xT4RhofNdD6fNtgFhr5mNqsvpheZtbqD+xDTY+EMyUZH&#10;Ywqg+iGtnLXYSheaIjLsnsR0BP4A5Lu1JWNH55mVMMBhkhoSmsZjedH2BRudVvxKaZ0RMfTblQ5k&#10;B3k8yndK6JewfMka4nCMK64cBu0ggD+ynKSDR+EsTjjNKRjBKdECH0S2SmQCpf8mErXQFiXJSh+1&#10;zdbW8UORvJzjKBTRTmObZ+3nfUHfPa7l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IBHfvYAAAA&#10;CAEAAA8AAAAAAAAAAQAgAAAAIgAAAGRycy9kb3ducmV2LnhtbFBLAQIUABQAAAAIAIdO4kAwr9ce&#10;5AEAAKQDAAAOAAAAAAAAAAEAIAAAACcBAABkcnMvZTJvRG9jLnhtbFBLBQYAAAAABgAGAFkBAAB9&#10;BQAAAAA=&#10;">
                      <v:fill on="f" focussize="0,0"/>
                      <v:stroke color="#000000" joinstyle="round"/>
                      <v:imagedata o:title=""/>
                      <o:lock v:ext="edit" aspectratio="f"/>
                    </v:shape>
                  </w:pict>
                </mc:Fallback>
              </mc:AlternateContent>
            </w:r>
          </w:p>
          <w:p>
            <w:pPr>
              <w:snapToGrid w:val="0"/>
              <w:spacing w:line="560" w:lineRule="exact"/>
              <w:ind w:firstLine="723" w:firstLineChars="300"/>
              <w:rPr>
                <w:rFonts w:hint="default" w:ascii="Times New Roman" w:hAnsi="Times New Roman" w:eastAsia="仿宋_GB2312" w:cs="Times New Roman"/>
                <w:b/>
                <w:bCs/>
                <w:color w:val="000000"/>
                <w:sz w:val="24"/>
              </w:rPr>
            </w:pPr>
            <w:r>
              <w:rPr>
                <w:rFonts w:hint="default" w:ascii="Times New Roman" w:hAnsi="Times New Roman" w:eastAsia="仿宋_GB2312" w:cs="Times New Roman"/>
                <w:b/>
                <w:bCs/>
                <w:color w:val="000000"/>
                <w:sz w:val="24"/>
              </w:rPr>
              <w:t>学科层次</w:t>
            </w:r>
          </w:p>
          <w:p>
            <w:pPr>
              <w:snapToGrid w:val="0"/>
              <w:spacing w:line="560" w:lineRule="exact"/>
              <w:rPr>
                <w:rFonts w:hint="default" w:ascii="Times New Roman" w:hAnsi="Times New Roman" w:eastAsia="仿宋_GB2312" w:cs="Times New Roman"/>
                <w:b/>
                <w:bCs/>
                <w:color w:val="000000"/>
                <w:sz w:val="24"/>
              </w:rPr>
            </w:pPr>
          </w:p>
          <w:p>
            <w:pPr>
              <w:snapToGrid w:val="0"/>
              <w:spacing w:line="560" w:lineRule="exact"/>
              <w:rPr>
                <w:rFonts w:hint="default" w:ascii="Times New Roman" w:hAnsi="Times New Roman" w:eastAsia="仿宋_GB2312" w:cs="Times New Roman"/>
                <w:b/>
                <w:bCs/>
                <w:color w:val="000000"/>
                <w:sz w:val="24"/>
              </w:rPr>
            </w:pPr>
            <w:r>
              <w:rPr>
                <w:rFonts w:hint="default" w:ascii="Times New Roman" w:hAnsi="Times New Roman" w:eastAsia="仿宋_GB2312" w:cs="Times New Roman"/>
                <w:b/>
                <w:bCs/>
                <w:color w:val="000000"/>
                <w:sz w:val="24"/>
              </w:rPr>
              <w:t>基础比例</w:t>
            </w:r>
          </w:p>
        </w:tc>
        <w:tc>
          <w:tcPr>
            <w:tcW w:w="1508" w:type="dxa"/>
            <w:tcBorders>
              <w:right w:val="single" w:color="auto" w:sz="4" w:space="0"/>
            </w:tcBorders>
            <w:noWrap w:val="0"/>
            <w:vAlign w:val="center"/>
          </w:tcPr>
          <w:p>
            <w:pPr>
              <w:snapToGrid w:val="0"/>
              <w:jc w:val="center"/>
              <w:rPr>
                <w:rFonts w:hint="default" w:ascii="Times New Roman" w:hAnsi="Times New Roman" w:eastAsia="仿宋_GB2312" w:cs="Times New Roman"/>
                <w:b/>
                <w:bCs/>
                <w:color w:val="000000"/>
                <w:sz w:val="24"/>
              </w:rPr>
            </w:pPr>
            <w:r>
              <w:rPr>
                <w:rFonts w:hint="default" w:ascii="Times New Roman" w:hAnsi="Times New Roman" w:eastAsia="仿宋_GB2312" w:cs="Times New Roman"/>
                <w:b/>
                <w:bCs/>
                <w:color w:val="000000"/>
                <w:sz w:val="24"/>
              </w:rPr>
              <w:t>学校改革</w:t>
            </w:r>
          </w:p>
          <w:p>
            <w:pPr>
              <w:snapToGrid w:val="0"/>
              <w:jc w:val="center"/>
              <w:rPr>
                <w:rFonts w:hint="default" w:ascii="Times New Roman" w:hAnsi="Times New Roman" w:eastAsia="仿宋_GB2312" w:cs="Times New Roman"/>
                <w:b/>
                <w:bCs/>
                <w:color w:val="000000"/>
                <w:sz w:val="24"/>
              </w:rPr>
            </w:pPr>
            <w:r>
              <w:rPr>
                <w:rFonts w:hint="default" w:ascii="Times New Roman" w:hAnsi="Times New Roman" w:eastAsia="仿宋_GB2312" w:cs="Times New Roman"/>
                <w:b/>
                <w:bCs/>
                <w:color w:val="000000"/>
                <w:sz w:val="24"/>
              </w:rPr>
              <w:t>试点学科</w:t>
            </w:r>
          </w:p>
        </w:tc>
        <w:tc>
          <w:tcPr>
            <w:tcW w:w="1559" w:type="dxa"/>
            <w:tcBorders>
              <w:left w:val="single" w:color="auto" w:sz="4" w:space="0"/>
            </w:tcBorders>
            <w:noWrap w:val="0"/>
            <w:vAlign w:val="center"/>
          </w:tcPr>
          <w:p>
            <w:pPr>
              <w:snapToGrid w:val="0"/>
              <w:jc w:val="center"/>
              <w:rPr>
                <w:rFonts w:hint="default" w:ascii="Times New Roman" w:hAnsi="Times New Roman" w:eastAsia="仿宋_GB2312" w:cs="Times New Roman"/>
                <w:b/>
                <w:bCs/>
                <w:color w:val="000000"/>
                <w:sz w:val="24"/>
              </w:rPr>
            </w:pPr>
            <w:r>
              <w:rPr>
                <w:rFonts w:hint="default" w:ascii="Times New Roman" w:hAnsi="Times New Roman" w:eastAsia="仿宋_GB2312" w:cs="Times New Roman"/>
                <w:b/>
                <w:bCs/>
                <w:color w:val="000000"/>
                <w:sz w:val="24"/>
              </w:rPr>
              <w:t>已建成博士学位授权一级学科的各级在建重点学科（或列入省一流学科A类）</w:t>
            </w:r>
          </w:p>
        </w:tc>
        <w:tc>
          <w:tcPr>
            <w:tcW w:w="1559" w:type="dxa"/>
            <w:noWrap w:val="0"/>
            <w:vAlign w:val="center"/>
          </w:tcPr>
          <w:p>
            <w:pPr>
              <w:snapToGrid w:val="0"/>
              <w:jc w:val="center"/>
              <w:rPr>
                <w:rFonts w:hint="default" w:ascii="Times New Roman" w:hAnsi="Times New Roman" w:eastAsia="仿宋_GB2312" w:cs="Times New Roman"/>
                <w:b/>
                <w:bCs/>
                <w:color w:val="000000"/>
                <w:sz w:val="24"/>
              </w:rPr>
            </w:pPr>
            <w:r>
              <w:rPr>
                <w:rFonts w:hint="default" w:ascii="Times New Roman" w:hAnsi="Times New Roman" w:eastAsia="仿宋_GB2312" w:cs="Times New Roman"/>
                <w:b/>
                <w:bCs/>
                <w:color w:val="000000"/>
                <w:sz w:val="24"/>
              </w:rPr>
              <w:t>已建成硕士学位授权一级学科的各级在建重点学科</w:t>
            </w:r>
          </w:p>
        </w:tc>
        <w:tc>
          <w:tcPr>
            <w:tcW w:w="1409" w:type="dxa"/>
            <w:noWrap w:val="0"/>
            <w:vAlign w:val="center"/>
          </w:tcPr>
          <w:p>
            <w:pPr>
              <w:snapToGrid w:val="0"/>
              <w:jc w:val="center"/>
              <w:rPr>
                <w:rFonts w:hint="default" w:ascii="Times New Roman" w:hAnsi="Times New Roman" w:eastAsia="仿宋_GB2312" w:cs="Times New Roman"/>
                <w:b/>
                <w:bCs/>
                <w:color w:val="000000"/>
                <w:sz w:val="24"/>
              </w:rPr>
            </w:pPr>
            <w:r>
              <w:rPr>
                <w:rFonts w:hint="default" w:ascii="Times New Roman" w:hAnsi="Times New Roman" w:eastAsia="仿宋_GB2312" w:cs="Times New Roman"/>
                <w:b/>
                <w:bCs/>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128" w:type="dxa"/>
            <w:gridSpan w:val="2"/>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bCs/>
                <w:color w:val="000000"/>
                <w:sz w:val="24"/>
              </w:rPr>
              <w:t>高级岗位</w:t>
            </w:r>
          </w:p>
        </w:tc>
        <w:tc>
          <w:tcPr>
            <w:tcW w:w="1508" w:type="dxa"/>
            <w:tcBorders>
              <w:right w:val="single" w:color="auto" w:sz="4" w:space="0"/>
            </w:tcBorders>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52%</w:t>
            </w:r>
          </w:p>
        </w:tc>
        <w:tc>
          <w:tcPr>
            <w:tcW w:w="1559" w:type="dxa"/>
            <w:tcBorders>
              <w:left w:val="single" w:color="auto" w:sz="4" w:space="0"/>
            </w:tcBorders>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bCs/>
                <w:color w:val="000000"/>
                <w:sz w:val="24"/>
              </w:rPr>
              <w:t>49%</w:t>
            </w:r>
          </w:p>
        </w:tc>
        <w:tc>
          <w:tcPr>
            <w:tcW w:w="1559" w:type="dxa"/>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bCs/>
                <w:color w:val="000000"/>
                <w:sz w:val="24"/>
              </w:rPr>
              <w:t>42%</w:t>
            </w:r>
          </w:p>
        </w:tc>
        <w:tc>
          <w:tcPr>
            <w:tcW w:w="1409" w:type="dxa"/>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bCs/>
                <w:color w:val="000000"/>
                <w:sz w:val="24"/>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96" w:type="dxa"/>
            <w:vMerge w:val="restart"/>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其中</w:t>
            </w:r>
          </w:p>
        </w:tc>
        <w:tc>
          <w:tcPr>
            <w:tcW w:w="1432" w:type="dxa"/>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正高级岗位</w:t>
            </w:r>
          </w:p>
        </w:tc>
        <w:tc>
          <w:tcPr>
            <w:tcW w:w="1508" w:type="dxa"/>
            <w:tcBorders>
              <w:right w:val="single" w:color="auto" w:sz="4" w:space="0"/>
            </w:tcBorders>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bCs/>
                <w:color w:val="000000"/>
                <w:sz w:val="24"/>
              </w:rPr>
              <w:t>21%</w:t>
            </w:r>
          </w:p>
        </w:tc>
        <w:tc>
          <w:tcPr>
            <w:tcW w:w="1559" w:type="dxa"/>
            <w:tcBorders>
              <w:left w:val="single" w:color="auto" w:sz="4" w:space="0"/>
            </w:tcBorders>
            <w:noWrap w:val="0"/>
            <w:vAlign w:val="center"/>
          </w:tcPr>
          <w:p>
            <w:pPr>
              <w:snapToGrid w:val="0"/>
              <w:jc w:val="center"/>
              <w:rPr>
                <w:rFonts w:hint="default" w:ascii="Times New Roman" w:hAnsi="Times New Roman" w:eastAsia="仿宋_GB2312" w:cs="Times New Roman"/>
                <w:bCs/>
                <w:color w:val="000000"/>
                <w:sz w:val="24"/>
              </w:rPr>
            </w:pPr>
            <w:r>
              <w:rPr>
                <w:rFonts w:hint="default" w:ascii="Times New Roman" w:hAnsi="Times New Roman" w:eastAsia="仿宋_GB2312" w:cs="Times New Roman"/>
                <w:bCs/>
                <w:color w:val="000000"/>
                <w:sz w:val="24"/>
              </w:rPr>
              <w:t>19%</w:t>
            </w:r>
          </w:p>
        </w:tc>
        <w:tc>
          <w:tcPr>
            <w:tcW w:w="1559" w:type="dxa"/>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bCs/>
                <w:color w:val="000000"/>
                <w:sz w:val="24"/>
              </w:rPr>
              <w:t>12%</w:t>
            </w:r>
          </w:p>
        </w:tc>
        <w:tc>
          <w:tcPr>
            <w:tcW w:w="1409" w:type="dxa"/>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bCs/>
                <w:color w:val="000000"/>
                <w:sz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96" w:type="dxa"/>
            <w:vMerge w:val="continue"/>
            <w:noWrap w:val="0"/>
            <w:vAlign w:val="center"/>
          </w:tcPr>
          <w:p>
            <w:pPr>
              <w:snapToGrid w:val="0"/>
              <w:ind w:firstLine="600" w:firstLineChars="250"/>
              <w:jc w:val="center"/>
              <w:rPr>
                <w:rFonts w:hint="default" w:ascii="Times New Roman" w:hAnsi="Times New Roman" w:eastAsia="仿宋_GB2312" w:cs="Times New Roman"/>
                <w:color w:val="000000"/>
                <w:sz w:val="24"/>
              </w:rPr>
            </w:pPr>
          </w:p>
        </w:tc>
        <w:tc>
          <w:tcPr>
            <w:tcW w:w="1432" w:type="dxa"/>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副高级岗位</w:t>
            </w:r>
          </w:p>
        </w:tc>
        <w:tc>
          <w:tcPr>
            <w:tcW w:w="1508" w:type="dxa"/>
            <w:tcBorders>
              <w:right w:val="single" w:color="auto" w:sz="4" w:space="0"/>
            </w:tcBorders>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bCs/>
                <w:color w:val="000000"/>
                <w:sz w:val="24"/>
              </w:rPr>
              <w:t>31%</w:t>
            </w:r>
          </w:p>
        </w:tc>
        <w:tc>
          <w:tcPr>
            <w:tcW w:w="1559" w:type="dxa"/>
            <w:tcBorders>
              <w:left w:val="single" w:color="auto" w:sz="4" w:space="0"/>
            </w:tcBorders>
            <w:noWrap w:val="0"/>
            <w:vAlign w:val="center"/>
          </w:tcPr>
          <w:p>
            <w:pPr>
              <w:snapToGrid w:val="0"/>
              <w:jc w:val="center"/>
              <w:rPr>
                <w:rFonts w:hint="default" w:ascii="Times New Roman" w:hAnsi="Times New Roman" w:eastAsia="仿宋_GB2312" w:cs="Times New Roman"/>
                <w:bCs/>
                <w:color w:val="000000"/>
                <w:sz w:val="24"/>
              </w:rPr>
            </w:pPr>
            <w:r>
              <w:rPr>
                <w:rFonts w:hint="default" w:ascii="Times New Roman" w:hAnsi="Times New Roman" w:eastAsia="仿宋_GB2312" w:cs="Times New Roman"/>
                <w:bCs/>
                <w:color w:val="000000"/>
                <w:sz w:val="24"/>
              </w:rPr>
              <w:t>30%</w:t>
            </w:r>
          </w:p>
        </w:tc>
        <w:tc>
          <w:tcPr>
            <w:tcW w:w="1559" w:type="dxa"/>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bCs/>
                <w:color w:val="000000"/>
                <w:sz w:val="24"/>
              </w:rPr>
              <w:t>30%</w:t>
            </w:r>
          </w:p>
        </w:tc>
        <w:tc>
          <w:tcPr>
            <w:tcW w:w="1409" w:type="dxa"/>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bCs/>
                <w:color w:val="000000"/>
                <w:sz w:val="24"/>
              </w:rPr>
              <w:t>28%</w:t>
            </w:r>
          </w:p>
        </w:tc>
      </w:tr>
    </w:tbl>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000000"/>
          <w:sz w:val="32"/>
          <w:szCs w:val="32"/>
          <w:shd w:val="clear" w:color="FFFFFF" w:fill="D9D9D9"/>
        </w:rPr>
      </w:pPr>
      <w:r>
        <w:rPr>
          <w:rFonts w:hint="default" w:ascii="Times New Roman" w:hAnsi="Times New Roman" w:eastAsia="仿宋_GB2312" w:cs="Times New Roman"/>
          <w:color w:val="000000"/>
          <w:sz w:val="32"/>
          <w:szCs w:val="32"/>
        </w:rPr>
        <w:t>附加比例（岗位）综合第四轮学科评估结果和第五轮学科评估目标，以及国家级一流专业建设点和课程等因素确定，附加比例最高不超过20%。国家级一流专业建设点和国家级一流课程附加比例可累计计算</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具体比例设置见表2。</w:t>
      </w:r>
      <w:r>
        <w:rPr>
          <w:rFonts w:hint="default" w:ascii="Times New Roman" w:hAnsi="Times New Roman" w:eastAsia="仿宋_GB2312" w:cs="Times New Roman"/>
          <w:bCs/>
          <w:color w:val="000000"/>
          <w:sz w:val="32"/>
          <w:szCs w:val="32"/>
        </w:rPr>
        <w:t>附加比例中的正、副高级岗位结构比例按表1所示进行配置。</w:t>
      </w:r>
    </w:p>
    <w:p>
      <w:pPr>
        <w:widowControl/>
        <w:jc w:val="center"/>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b/>
          <w:color w:val="000000"/>
          <w:sz w:val="28"/>
          <w:szCs w:val="28"/>
        </w:rPr>
        <w:t>表2： 专业技术高级岗位附加比例设置表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3034"/>
        <w:gridCol w:w="2776"/>
        <w:gridCol w:w="1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b/>
                <w:bCs/>
                <w:color w:val="000000"/>
                <w:kern w:val="0"/>
                <w:sz w:val="24"/>
              </w:rPr>
            </w:pPr>
            <w:r>
              <w:rPr>
                <w:rFonts w:hint="default" w:ascii="Times New Roman" w:hAnsi="Times New Roman" w:eastAsia="仿宋_GB2312" w:cs="Times New Roman"/>
                <w:b/>
                <w:bCs/>
                <w:color w:val="000000"/>
                <w:kern w:val="0"/>
                <w:sz w:val="24"/>
              </w:rPr>
              <w:t>序号</w:t>
            </w:r>
          </w:p>
        </w:tc>
        <w:tc>
          <w:tcPr>
            <w:tcW w:w="581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b/>
                <w:bCs/>
                <w:color w:val="000000"/>
                <w:kern w:val="0"/>
                <w:sz w:val="24"/>
              </w:rPr>
            </w:pPr>
            <w:r>
              <w:rPr>
                <w:rFonts w:hint="default" w:ascii="Times New Roman" w:hAnsi="Times New Roman" w:eastAsia="仿宋_GB2312" w:cs="Times New Roman"/>
                <w:b/>
                <w:bCs/>
                <w:color w:val="000000"/>
                <w:kern w:val="0"/>
                <w:sz w:val="24"/>
              </w:rPr>
              <w:t>项     目</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b/>
                <w:bCs/>
                <w:color w:val="000000"/>
                <w:kern w:val="0"/>
                <w:sz w:val="24"/>
              </w:rPr>
            </w:pPr>
            <w:r>
              <w:rPr>
                <w:rFonts w:hint="default" w:ascii="Times New Roman" w:hAnsi="Times New Roman" w:eastAsia="仿宋_GB2312" w:cs="Times New Roman"/>
                <w:b/>
                <w:bCs/>
                <w:color w:val="000000"/>
                <w:kern w:val="0"/>
                <w:sz w:val="24"/>
              </w:rPr>
              <w:t>增加比例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1</w:t>
            </w:r>
          </w:p>
        </w:tc>
        <w:tc>
          <w:tcPr>
            <w:tcW w:w="3034" w:type="dxa"/>
            <w:vMerge w:val="restart"/>
            <w:tcBorders>
              <w:top w:val="single" w:color="auto" w:sz="4" w:space="0"/>
              <w:left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第四轮学科评估结果</w:t>
            </w:r>
          </w:p>
        </w:tc>
        <w:tc>
          <w:tcPr>
            <w:tcW w:w="27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A-学科</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8</w:t>
            </w:r>
            <w:r>
              <w:rPr>
                <w:rFonts w:hint="default" w:ascii="Times New Roman" w:hAnsi="Times New Roman" w:eastAsia="仿宋_GB2312" w:cs="Times New Roman"/>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2</w:t>
            </w:r>
          </w:p>
        </w:tc>
        <w:tc>
          <w:tcPr>
            <w:tcW w:w="3034" w:type="dxa"/>
            <w:vMerge w:val="continue"/>
            <w:tcBorders>
              <w:left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sz w:val="24"/>
              </w:rPr>
            </w:pPr>
          </w:p>
        </w:tc>
        <w:tc>
          <w:tcPr>
            <w:tcW w:w="27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B+学科</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3</w:t>
            </w:r>
          </w:p>
        </w:tc>
        <w:tc>
          <w:tcPr>
            <w:tcW w:w="3034" w:type="dxa"/>
            <w:vMerge w:val="continue"/>
            <w:tcBorders>
              <w:left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sz w:val="24"/>
              </w:rPr>
            </w:pPr>
          </w:p>
        </w:tc>
        <w:tc>
          <w:tcPr>
            <w:tcW w:w="27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B学科</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4</w:t>
            </w:r>
          </w:p>
        </w:tc>
        <w:tc>
          <w:tcPr>
            <w:tcW w:w="3034" w:type="dxa"/>
            <w:vMerge w:val="continue"/>
            <w:tcBorders>
              <w:left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sz w:val="24"/>
              </w:rPr>
            </w:pPr>
          </w:p>
        </w:tc>
        <w:tc>
          <w:tcPr>
            <w:tcW w:w="27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B-学科</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5</w:t>
            </w:r>
          </w:p>
        </w:tc>
        <w:tc>
          <w:tcPr>
            <w:tcW w:w="3034" w:type="dxa"/>
            <w:vMerge w:val="restart"/>
            <w:tcBorders>
              <w:top w:val="single" w:color="auto" w:sz="4" w:space="0"/>
              <w:left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第五轮学科评估目标</w:t>
            </w:r>
          </w:p>
          <w:p>
            <w:pPr>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（仅面向具有提升目标等级预期的学科）</w:t>
            </w:r>
          </w:p>
        </w:tc>
        <w:tc>
          <w:tcPr>
            <w:tcW w:w="27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A学科</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6</w:t>
            </w:r>
          </w:p>
        </w:tc>
        <w:tc>
          <w:tcPr>
            <w:tcW w:w="3034" w:type="dxa"/>
            <w:vMerge w:val="continue"/>
            <w:tcBorders>
              <w:left w:val="single" w:color="auto" w:sz="4" w:space="0"/>
              <w:right w:val="single" w:color="auto" w:sz="4" w:space="0"/>
            </w:tcBorders>
            <w:noWrap w:val="0"/>
            <w:vAlign w:val="center"/>
          </w:tcPr>
          <w:p>
            <w:pPr>
              <w:snapToGrid w:val="0"/>
              <w:rPr>
                <w:rFonts w:hint="default" w:ascii="Times New Roman" w:hAnsi="Times New Roman" w:eastAsia="仿宋_GB2312" w:cs="Times New Roman"/>
                <w:color w:val="000000"/>
                <w:kern w:val="0"/>
                <w:sz w:val="24"/>
              </w:rPr>
            </w:pPr>
          </w:p>
        </w:tc>
        <w:tc>
          <w:tcPr>
            <w:tcW w:w="27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A-学科</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7</w:t>
            </w:r>
          </w:p>
        </w:tc>
        <w:tc>
          <w:tcPr>
            <w:tcW w:w="3034" w:type="dxa"/>
            <w:vMerge w:val="continue"/>
            <w:tcBorders>
              <w:left w:val="single" w:color="auto" w:sz="4" w:space="0"/>
              <w:right w:val="single" w:color="auto" w:sz="4" w:space="0"/>
            </w:tcBorders>
            <w:noWrap w:val="0"/>
            <w:vAlign w:val="center"/>
          </w:tcPr>
          <w:p>
            <w:pPr>
              <w:snapToGrid w:val="0"/>
              <w:rPr>
                <w:rFonts w:hint="default" w:ascii="Times New Roman" w:hAnsi="Times New Roman" w:eastAsia="仿宋_GB2312" w:cs="Times New Roman"/>
                <w:color w:val="000000"/>
                <w:kern w:val="0"/>
                <w:sz w:val="24"/>
              </w:rPr>
            </w:pPr>
          </w:p>
        </w:tc>
        <w:tc>
          <w:tcPr>
            <w:tcW w:w="27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B+学科</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8</w:t>
            </w:r>
          </w:p>
        </w:tc>
        <w:tc>
          <w:tcPr>
            <w:tcW w:w="3034" w:type="dxa"/>
            <w:vMerge w:val="continue"/>
            <w:tcBorders>
              <w:left w:val="single" w:color="auto" w:sz="4" w:space="0"/>
              <w:right w:val="single" w:color="auto" w:sz="4" w:space="0"/>
            </w:tcBorders>
            <w:noWrap w:val="0"/>
            <w:vAlign w:val="center"/>
          </w:tcPr>
          <w:p>
            <w:pPr>
              <w:snapToGrid w:val="0"/>
              <w:rPr>
                <w:rFonts w:hint="default" w:ascii="Times New Roman" w:hAnsi="Times New Roman" w:eastAsia="仿宋_GB2312" w:cs="Times New Roman"/>
                <w:color w:val="000000"/>
                <w:kern w:val="0"/>
                <w:sz w:val="24"/>
              </w:rPr>
            </w:pPr>
          </w:p>
        </w:tc>
        <w:tc>
          <w:tcPr>
            <w:tcW w:w="27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B学科</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9</w:t>
            </w:r>
          </w:p>
        </w:tc>
        <w:tc>
          <w:tcPr>
            <w:tcW w:w="3034" w:type="dxa"/>
            <w:vMerge w:val="continue"/>
            <w:tcBorders>
              <w:left w:val="single" w:color="auto" w:sz="4" w:space="0"/>
              <w:right w:val="single" w:color="auto" w:sz="4" w:space="0"/>
            </w:tcBorders>
            <w:noWrap w:val="0"/>
            <w:vAlign w:val="center"/>
          </w:tcPr>
          <w:p>
            <w:pPr>
              <w:snapToGrid w:val="0"/>
              <w:rPr>
                <w:rFonts w:hint="default" w:ascii="Times New Roman" w:hAnsi="Times New Roman" w:eastAsia="仿宋_GB2312" w:cs="Times New Roman"/>
                <w:color w:val="000000"/>
                <w:kern w:val="0"/>
                <w:sz w:val="24"/>
              </w:rPr>
            </w:pPr>
          </w:p>
        </w:tc>
        <w:tc>
          <w:tcPr>
            <w:tcW w:w="27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B-学科</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10</w:t>
            </w:r>
          </w:p>
        </w:tc>
        <w:tc>
          <w:tcPr>
            <w:tcW w:w="3034" w:type="dxa"/>
            <w:vMerge w:val="restart"/>
            <w:tcBorders>
              <w:left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sz w:val="24"/>
                <w:shd w:val="clear" w:color="auto" w:fill="FFFFFF"/>
              </w:rPr>
              <w:fldChar w:fldCharType="begin"/>
            </w:r>
            <w:r>
              <w:rPr>
                <w:rFonts w:hint="default" w:ascii="Times New Roman" w:hAnsi="Times New Roman" w:eastAsia="仿宋_GB2312" w:cs="Times New Roman"/>
                <w:color w:val="000000"/>
                <w:sz w:val="24"/>
                <w:shd w:val="clear" w:color="auto" w:fill="FFFFFF"/>
              </w:rPr>
              <w:instrText xml:space="preserve"> HYPERLINK "https://baike.baidu.com/item/%E4%B8%80%E6%B5%81%E4%B8%93%E4%B8%9A/22939041" \t "https://baike.baidu.com/item/%E4%B8%80%E6%B5%81%E8%AF%BE%E7%A8%8B/_blank" </w:instrText>
            </w:r>
            <w:r>
              <w:rPr>
                <w:rFonts w:hint="default" w:ascii="Times New Roman" w:hAnsi="Times New Roman" w:eastAsia="仿宋_GB2312" w:cs="Times New Roman"/>
                <w:color w:val="000000"/>
                <w:sz w:val="24"/>
                <w:shd w:val="clear" w:color="auto" w:fill="FFFFFF"/>
              </w:rPr>
              <w:fldChar w:fldCharType="separate"/>
            </w:r>
            <w:r>
              <w:rPr>
                <w:rFonts w:hint="default" w:ascii="Times New Roman" w:hAnsi="Times New Roman" w:eastAsia="仿宋_GB2312" w:cs="Times New Roman"/>
                <w:color w:val="000000"/>
                <w:sz w:val="24"/>
              </w:rPr>
              <w:t>本科</w:t>
            </w:r>
            <w:r>
              <w:rPr>
                <w:rStyle w:val="4"/>
                <w:rFonts w:hint="default" w:ascii="Times New Roman" w:hAnsi="Times New Roman" w:eastAsia="仿宋_GB2312" w:cs="Times New Roman"/>
                <w:color w:val="000000"/>
                <w:sz w:val="24"/>
                <w:u w:val="none"/>
                <w:shd w:val="clear" w:color="auto" w:fill="FFFFFF"/>
              </w:rPr>
              <w:t>专业</w:t>
            </w:r>
            <w:r>
              <w:rPr>
                <w:rFonts w:hint="default" w:ascii="Times New Roman" w:hAnsi="Times New Roman" w:eastAsia="仿宋_GB2312" w:cs="Times New Roman"/>
                <w:color w:val="000000"/>
                <w:sz w:val="24"/>
                <w:shd w:val="clear" w:color="auto" w:fill="FFFFFF"/>
              </w:rPr>
              <w:fldChar w:fldCharType="end"/>
            </w:r>
            <w:r>
              <w:rPr>
                <w:rFonts w:hint="default" w:ascii="Times New Roman" w:hAnsi="Times New Roman" w:eastAsia="仿宋_GB2312" w:cs="Times New Roman"/>
                <w:color w:val="000000"/>
                <w:sz w:val="24"/>
                <w:shd w:val="clear" w:color="auto" w:fill="FFFFFF"/>
              </w:rPr>
              <w:t>和课程建设</w:t>
            </w:r>
          </w:p>
        </w:tc>
        <w:tc>
          <w:tcPr>
            <w:tcW w:w="27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国家级一流专业建设点</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11</w:t>
            </w:r>
          </w:p>
        </w:tc>
        <w:tc>
          <w:tcPr>
            <w:tcW w:w="3034" w:type="dxa"/>
            <w:vMerge w:val="continue"/>
            <w:tcBorders>
              <w:left w:val="single" w:color="auto" w:sz="4" w:space="0"/>
              <w:right w:val="single" w:color="auto" w:sz="4" w:space="0"/>
            </w:tcBorders>
            <w:noWrap w:val="0"/>
            <w:vAlign w:val="center"/>
          </w:tcPr>
          <w:p>
            <w:pPr>
              <w:snapToGrid w:val="0"/>
              <w:rPr>
                <w:rFonts w:hint="default" w:ascii="Times New Roman" w:hAnsi="Times New Roman" w:eastAsia="仿宋_GB2312" w:cs="Times New Roman"/>
                <w:color w:val="000000"/>
                <w:kern w:val="0"/>
                <w:sz w:val="24"/>
              </w:rPr>
            </w:pPr>
          </w:p>
        </w:tc>
        <w:tc>
          <w:tcPr>
            <w:tcW w:w="27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国家级一流课程</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1%</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第五轮学科评估目标，应由主体学科所在学院主动申报，以第四轮学科评估结果为基础，以2016-2019年学科主要增量业绩为基本依据，原则上申报目标只提升一个等级，经学校审定后予以确定。按照学科共建共享原则，根据参与学科的贡献度给予相应比例的分配；学科评估目标申报中主体学科与参与学科应事先进行约定确认，并报学校备案。学校将根据第五轮学科评估结果，在聘期中进行相应调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000000"/>
          <w:sz w:val="30"/>
          <w:szCs w:val="30"/>
        </w:rPr>
      </w:pPr>
      <w:r>
        <w:rPr>
          <w:rFonts w:hint="default" w:ascii="Times New Roman" w:hAnsi="Times New Roman" w:eastAsia="仿宋_GB2312" w:cs="Times New Roman"/>
          <w:bCs/>
          <w:color w:val="000000"/>
          <w:sz w:val="32"/>
          <w:szCs w:val="32"/>
        </w:rPr>
        <w:t>（3）专业技术高级岗位配置要求。各学院（部）应在学校核定的专业技术高级岗位结构比例内，根据学校、学院的发展基础、发展规划、重大战略目标和重点任务要求科学设置高级岗位。原则上在国家级学科、平台、团队和省一流学科A类、省重中之重学科（人文社科基地）等中设置专业技术二级岗位；在博士学位点，省级重点学科，省级平台，国家级学科、平台、团队的建设方向，省重中之重学科（人文社科基地）的建设方向，国家级本科专业建设点、国家级本科课程、国家级实验教学示范中心（含国家级虚拟仿真实验教学中心）中设置专业技术三级岗位；根据学科平台、学位点、队伍团队、课程专业以及教育教学、科学研究和社会服务等的建设和发展工作中设置专业技术正高级岗位。</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（4）“资深教授”不占所在学科、学院的高级岗位结构比例。“朝晖特聘研究员岗位（校聘教授岗位）”不占所在学院的专业技术高级岗位，其管理按照学校有关文件执行。</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color w:val="000000"/>
          <w:sz w:val="32"/>
          <w:szCs w:val="32"/>
        </w:rPr>
        <w:t>（5）</w:t>
      </w:r>
      <w:r>
        <w:rPr>
          <w:rFonts w:hint="default" w:ascii="Times New Roman" w:hAnsi="Times New Roman" w:eastAsia="仿宋_GB2312" w:cs="Times New Roman"/>
          <w:bCs/>
          <w:color w:val="000000"/>
          <w:sz w:val="32"/>
          <w:szCs w:val="32"/>
        </w:rPr>
        <w:t>学校中层及以上干部可以参加教师岗位的聘任。根据所聘学科，其岗位聘任纳入相应学院（部）评聘，本学院校中层干部纳入所在学科进行整体测算；校领导、非本学院校中层干部单列指标，学校补贴所聘学科相应层级最低等级岗位数</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color w:val="000000"/>
          <w:sz w:val="32"/>
          <w:szCs w:val="32"/>
        </w:rPr>
        <w:t>（6）</w:t>
      </w:r>
      <w:r>
        <w:rPr>
          <w:rFonts w:hint="default" w:ascii="Times New Roman" w:hAnsi="Times New Roman" w:eastAsia="仿宋_GB2312" w:cs="Times New Roman"/>
          <w:bCs/>
          <w:color w:val="000000"/>
          <w:sz w:val="32"/>
          <w:szCs w:val="32"/>
        </w:rPr>
        <w:t>校级直属研究机构的高级岗位基础比例参照已建成博士学位授权一级学科的各级在建重点学科比例设置。</w:t>
      </w:r>
    </w:p>
    <w:p>
      <w:pPr>
        <w:keepNext w:val="0"/>
        <w:keepLines w:val="0"/>
        <w:pageBreakBefore w:val="0"/>
        <w:widowControl w:val="0"/>
        <w:kinsoku/>
        <w:wordWrap/>
        <w:overflowPunct/>
        <w:topLinePunct w:val="0"/>
        <w:autoSpaceDE/>
        <w:autoSpaceDN/>
        <w:bidi w:val="0"/>
        <w:snapToGrid/>
        <w:spacing w:line="600" w:lineRule="exact"/>
        <w:ind w:firstLine="643" w:firstLineChars="200"/>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bCs/>
          <w:color w:val="000000"/>
          <w:sz w:val="32"/>
          <w:szCs w:val="32"/>
        </w:rPr>
        <w:t>（三）岗位具体设置</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shd w:val="clear" w:color="FFFFFF" w:fill="D9D9D9"/>
        </w:rPr>
      </w:pPr>
      <w:r>
        <w:rPr>
          <w:rFonts w:hint="default" w:ascii="Times New Roman" w:hAnsi="Times New Roman" w:eastAsia="仿宋_GB2312" w:cs="Times New Roman"/>
          <w:color w:val="000000"/>
          <w:sz w:val="32"/>
          <w:szCs w:val="32"/>
        </w:rPr>
        <w:t>1.各学院（部）岗位设置，应有利于教育教学、科学研究、公共事务等工作的开展，有利于不同类型教师的专业发展，有利于人才培养质量和科研水平的提升，坚持优化结构、合理配置原则。</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color w:val="000000"/>
          <w:sz w:val="32"/>
          <w:szCs w:val="32"/>
        </w:rPr>
        <w:t>2.各学院（部）按照学校核定的岗位类别、数量、结构比例，根据学校确定的设岗原则和要求，结合本单位发展规划、目标任务和工作特点，</w:t>
      </w:r>
      <w:r>
        <w:rPr>
          <w:rFonts w:hint="default" w:ascii="Times New Roman" w:hAnsi="Times New Roman" w:eastAsia="仿宋_GB2312" w:cs="Times New Roman"/>
          <w:bCs/>
          <w:color w:val="000000"/>
          <w:sz w:val="32"/>
          <w:szCs w:val="32"/>
        </w:rPr>
        <w:t>设置各类各级岗位</w:t>
      </w:r>
      <w:r>
        <w:rPr>
          <w:rFonts w:hint="default" w:ascii="Times New Roman" w:hAnsi="Times New Roman" w:eastAsia="仿宋_GB2312" w:cs="Times New Roman"/>
          <w:color w:val="000000"/>
          <w:sz w:val="32"/>
          <w:szCs w:val="32"/>
        </w:rPr>
        <w:t>。岗位设置应明确</w:t>
      </w:r>
      <w:r>
        <w:rPr>
          <w:rFonts w:hint="default" w:ascii="Times New Roman" w:hAnsi="Times New Roman" w:eastAsia="仿宋_GB2312" w:cs="Times New Roman"/>
          <w:bCs/>
          <w:color w:val="000000"/>
          <w:sz w:val="32"/>
          <w:szCs w:val="32"/>
        </w:rPr>
        <w:t>岗位类别类型、岗位等级、申报条件、岗位职责、目标任务等。</w:t>
      </w:r>
      <w:r>
        <w:rPr>
          <w:rFonts w:hint="default" w:ascii="Times New Roman" w:hAnsi="Times New Roman" w:eastAsia="仿宋_GB2312" w:cs="Times New Roman"/>
          <w:color w:val="000000"/>
          <w:kern w:val="0"/>
          <w:sz w:val="32"/>
          <w:szCs w:val="32"/>
        </w:rPr>
        <w:t>专业技术高级岗位设置方案</w:t>
      </w:r>
      <w:r>
        <w:rPr>
          <w:rFonts w:hint="default" w:ascii="Times New Roman" w:hAnsi="Times New Roman" w:eastAsia="仿宋_GB2312" w:cs="Times New Roman"/>
          <w:bCs/>
          <w:color w:val="000000"/>
          <w:sz w:val="32"/>
          <w:szCs w:val="32"/>
        </w:rPr>
        <w:t>报学校“岗位设置与聘任领导小组”审核。</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3.</w:t>
      </w:r>
      <w:r>
        <w:rPr>
          <w:rFonts w:hint="default" w:ascii="Times New Roman" w:hAnsi="Times New Roman" w:eastAsia="仿宋_GB2312" w:cs="Times New Roman"/>
          <w:color w:val="000000"/>
          <w:sz w:val="32"/>
          <w:szCs w:val="32"/>
        </w:rPr>
        <w:t>学院可按照“目标引领、追求卓越，突出重点、绩效导向，自主管理、整体考核”的原则，积极探索以科研、教学团队等形式进行团队岗位聘任和管理考核。聘任及管理方案</w:t>
      </w:r>
      <w:r>
        <w:rPr>
          <w:rFonts w:hint="default" w:ascii="Times New Roman" w:hAnsi="Times New Roman" w:eastAsia="仿宋_GB2312" w:cs="Times New Roman"/>
          <w:bCs/>
          <w:color w:val="000000"/>
          <w:sz w:val="32"/>
          <w:szCs w:val="32"/>
        </w:rPr>
        <w:t>报学校“岗位设置与聘任领导小组”审核。</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4.教师岗位设立“专业技术岗位 + 特聘岗位”的岗位体系。“特聘岗位”，包括面向引进人才的“特聘研究员岗位”等，面向取得特殊业绩贡献教师的“特聘教授岗位”和纳入长聘期的“资深教授岗位”，具体另行制定办法实施。</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color w:val="000000"/>
          <w:sz w:val="32"/>
          <w:szCs w:val="32"/>
        </w:rPr>
        <w:t>5.</w:t>
      </w:r>
      <w:r>
        <w:rPr>
          <w:rFonts w:hint="default" w:ascii="Times New Roman" w:hAnsi="Times New Roman" w:eastAsia="仿宋_GB2312" w:cs="Times New Roman"/>
          <w:bCs/>
          <w:color w:val="000000"/>
          <w:sz w:val="32"/>
          <w:szCs w:val="32"/>
        </w:rPr>
        <w:t>校级直属研究机构会同</w:t>
      </w:r>
      <w:r>
        <w:rPr>
          <w:rFonts w:hint="default" w:ascii="Times New Roman" w:hAnsi="Times New Roman" w:eastAsia="仿宋_GB2312" w:cs="Times New Roman"/>
          <w:bCs/>
          <w:color w:val="000000"/>
          <w:sz w:val="32"/>
          <w:szCs w:val="32"/>
          <w:lang w:eastAsia="zh-CN"/>
        </w:rPr>
        <w:t>业务指导</w:t>
      </w:r>
      <w:r>
        <w:rPr>
          <w:rFonts w:hint="default" w:ascii="Times New Roman" w:hAnsi="Times New Roman" w:eastAsia="仿宋_GB2312" w:cs="Times New Roman"/>
          <w:bCs/>
          <w:color w:val="000000"/>
          <w:sz w:val="32"/>
          <w:szCs w:val="32"/>
        </w:rPr>
        <w:t>部门</w:t>
      </w:r>
      <w:r>
        <w:rPr>
          <w:rFonts w:hint="default" w:ascii="Times New Roman" w:hAnsi="Times New Roman" w:eastAsia="仿宋_GB2312" w:cs="Times New Roman"/>
          <w:color w:val="000000"/>
          <w:sz w:val="32"/>
          <w:szCs w:val="32"/>
        </w:rPr>
        <w:t>在学校核定的岗位数内，根据具体工作需要设置岗位。</w:t>
      </w:r>
      <w:r>
        <w:rPr>
          <w:rFonts w:hint="default" w:ascii="Times New Roman" w:hAnsi="Times New Roman" w:eastAsia="仿宋_GB2312" w:cs="Times New Roman"/>
          <w:bCs/>
          <w:color w:val="000000"/>
          <w:sz w:val="32"/>
          <w:szCs w:val="32"/>
        </w:rPr>
        <w:t>岗位设置方案报学校“岗位设置与聘任领导小组”审核。</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6.</w:t>
      </w:r>
      <w:r>
        <w:rPr>
          <w:rFonts w:hint="default" w:ascii="Times New Roman" w:hAnsi="Times New Roman" w:eastAsia="仿宋_GB2312" w:cs="Times New Roman"/>
          <w:color w:val="000000"/>
          <w:sz w:val="32"/>
          <w:szCs w:val="32"/>
        </w:rPr>
        <w:t>为切实加强人才培养工作，</w:t>
      </w:r>
      <w:r>
        <w:rPr>
          <w:rFonts w:hint="default" w:ascii="Times New Roman" w:hAnsi="Times New Roman" w:eastAsia="仿宋_GB2312" w:cs="Times New Roman"/>
          <w:bCs/>
          <w:color w:val="000000"/>
          <w:sz w:val="32"/>
          <w:szCs w:val="32"/>
        </w:rPr>
        <w:t>强化分类设岗导向，教学为主型岗位的具体设置和相关要求详见《浙江工业大学教学为主型岗位设置与管理办法》。</w:t>
      </w:r>
    </w:p>
    <w:p>
      <w:pPr>
        <w:keepNext w:val="0"/>
        <w:keepLines w:val="0"/>
        <w:pageBreakBefore w:val="0"/>
        <w:widowControl w:val="0"/>
        <w:kinsoku/>
        <w:wordWrap/>
        <w:overflowPunct/>
        <w:topLinePunct w:val="0"/>
        <w:autoSpaceDE/>
        <w:autoSpaceDN/>
        <w:bidi w:val="0"/>
        <w:snapToGrid/>
        <w:spacing w:line="600" w:lineRule="exact"/>
        <w:ind w:firstLine="640" w:firstLineChars="200"/>
        <w:jc w:val="left"/>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color w:val="000000"/>
          <w:sz w:val="32"/>
          <w:szCs w:val="32"/>
        </w:rPr>
        <w:t>7.学院（部）</w:t>
      </w:r>
      <w:r>
        <w:rPr>
          <w:rFonts w:hint="default" w:ascii="Times New Roman" w:hAnsi="Times New Roman" w:eastAsia="仿宋_GB2312" w:cs="Times New Roman"/>
          <w:color w:val="000000"/>
          <w:sz w:val="32"/>
          <w:szCs w:val="32"/>
          <w:lang w:eastAsia="zh-CN"/>
        </w:rPr>
        <w:t>专职辅导员岗位</w:t>
      </w:r>
      <w:r>
        <w:rPr>
          <w:rFonts w:hint="eastAsia" w:ascii="Times New Roman" w:hAnsi="Times New Roman" w:cs="Times New Roman"/>
          <w:color w:val="000000"/>
          <w:sz w:val="32"/>
          <w:szCs w:val="32"/>
          <w:lang w:eastAsia="zh-CN"/>
        </w:rPr>
        <w:t>、</w:t>
      </w:r>
      <w:r>
        <w:rPr>
          <w:rFonts w:hint="default" w:ascii="Times New Roman" w:hAnsi="Times New Roman" w:eastAsia="仿宋_GB2312" w:cs="Times New Roman"/>
          <w:color w:val="000000"/>
          <w:sz w:val="32"/>
          <w:szCs w:val="32"/>
        </w:rPr>
        <w:t>党务</w:t>
      </w:r>
      <w:r>
        <w:rPr>
          <w:rFonts w:hint="eastAsia" w:ascii="Times New Roman" w:hAnsi="Times New Roman" w:cs="Times New Roman"/>
          <w:color w:val="000000"/>
          <w:sz w:val="32"/>
          <w:szCs w:val="32"/>
          <w:lang w:eastAsia="zh-CN"/>
        </w:rPr>
        <w:t>工作</w:t>
      </w:r>
      <w:r>
        <w:rPr>
          <w:rFonts w:hint="default" w:ascii="Times New Roman" w:hAnsi="Times New Roman" w:eastAsia="仿宋_GB2312" w:cs="Times New Roman"/>
          <w:color w:val="000000"/>
          <w:sz w:val="32"/>
          <w:szCs w:val="32"/>
          <w:lang w:eastAsia="zh-CN"/>
        </w:rPr>
        <w:t>岗位按学院（部）专技岗位</w:t>
      </w:r>
      <w:r>
        <w:rPr>
          <w:rFonts w:hint="default" w:ascii="Times New Roman" w:hAnsi="Times New Roman" w:eastAsia="仿宋_GB2312" w:cs="Times New Roman"/>
          <w:color w:val="000000"/>
          <w:sz w:val="32"/>
          <w:szCs w:val="32"/>
        </w:rPr>
        <w:t>（学生思想政治教育专技职务）</w:t>
      </w:r>
      <w:r>
        <w:rPr>
          <w:rFonts w:hint="default" w:ascii="Times New Roman" w:hAnsi="Times New Roman" w:eastAsia="仿宋_GB2312" w:cs="Times New Roman"/>
          <w:color w:val="000000"/>
          <w:sz w:val="32"/>
          <w:szCs w:val="32"/>
          <w:lang w:eastAsia="zh-CN"/>
        </w:rPr>
        <w:t>聘任，</w:t>
      </w:r>
      <w:r>
        <w:rPr>
          <w:rFonts w:hint="default" w:ascii="Times New Roman" w:hAnsi="Times New Roman" w:eastAsia="仿宋_GB2312" w:cs="Times New Roman"/>
          <w:color w:val="000000"/>
          <w:sz w:val="32"/>
          <w:szCs w:val="32"/>
        </w:rPr>
        <w:t>实行</w:t>
      </w:r>
      <w:r>
        <w:rPr>
          <w:rFonts w:hint="default" w:ascii="Times New Roman" w:hAnsi="Times New Roman" w:eastAsia="仿宋_GB2312" w:cs="Times New Roman"/>
          <w:color w:val="000000"/>
          <w:sz w:val="32"/>
          <w:szCs w:val="32"/>
          <w:lang w:eastAsia="zh-CN"/>
        </w:rPr>
        <w:t>专业技术</w:t>
      </w:r>
      <w:r>
        <w:rPr>
          <w:rFonts w:hint="default" w:ascii="Times New Roman" w:hAnsi="Times New Roman" w:eastAsia="仿宋_GB2312" w:cs="Times New Roman"/>
          <w:color w:val="000000"/>
          <w:sz w:val="32"/>
          <w:szCs w:val="32"/>
        </w:rPr>
        <w:t>职务</w:t>
      </w:r>
      <w:r>
        <w:rPr>
          <w:rFonts w:hint="default" w:ascii="Times New Roman" w:hAnsi="Times New Roman" w:eastAsia="仿宋_GB2312" w:cs="Times New Roman"/>
          <w:color w:val="000000"/>
          <w:sz w:val="32"/>
          <w:szCs w:val="32"/>
          <w:lang w:eastAsia="zh-CN"/>
        </w:rPr>
        <w:t>、管理</w:t>
      </w:r>
      <w:r>
        <w:rPr>
          <w:rFonts w:hint="default" w:ascii="Times New Roman" w:hAnsi="Times New Roman" w:eastAsia="仿宋_GB2312" w:cs="Times New Roman"/>
          <w:color w:val="000000"/>
          <w:sz w:val="32"/>
          <w:szCs w:val="32"/>
        </w:rPr>
        <w:t>职级“双线”晋升、“双线”考核</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bCs/>
          <w:color w:val="000000"/>
          <w:sz w:val="32"/>
          <w:szCs w:val="32"/>
        </w:rPr>
        <w:t>其中学生思政教育专业技术高级岗位由学校统一设置</w:t>
      </w:r>
      <w:r>
        <w:rPr>
          <w:rFonts w:hint="eastAsia" w:ascii="Times New Roman" w:hAnsi="Times New Roman" w:cs="Times New Roman"/>
          <w:bCs/>
          <w:color w:val="000000"/>
          <w:sz w:val="32"/>
          <w:szCs w:val="32"/>
          <w:lang w:eastAsia="zh-CN"/>
        </w:rPr>
        <w:t>，</w:t>
      </w:r>
      <w:r>
        <w:rPr>
          <w:rFonts w:hint="default" w:ascii="Times New Roman" w:hAnsi="Times New Roman" w:eastAsia="仿宋_GB2312" w:cs="Times New Roman"/>
          <w:color w:val="000000"/>
          <w:sz w:val="32"/>
          <w:szCs w:val="32"/>
        </w:rPr>
        <w:t>纳入“学生思想政治教育岗位评聘委员会”评聘。</w:t>
      </w:r>
    </w:p>
    <w:p>
      <w:pPr>
        <w:keepNext w:val="0"/>
        <w:keepLines w:val="0"/>
        <w:pageBreakBefore w:val="0"/>
        <w:widowControl w:val="0"/>
        <w:kinsoku/>
        <w:wordWrap/>
        <w:overflowPunct/>
        <w:topLinePunct w:val="0"/>
        <w:autoSpaceDE/>
        <w:autoSpaceDN/>
        <w:bidi w:val="0"/>
        <w:snapToGrid/>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8.在本轮聘任中，对核定各层级专业技术岗位总量低于相应层级实有专业技术人员数的学院（部），应聘人员上一轮聘期考核合格，达到岗位申报条件下，学院（部）可适当超结构比例设岗，所设岗位为本层级最低岗位；应聘人员上一轮聘期考核不合格，应降级聘任。</w:t>
      </w:r>
    </w:p>
    <w:p>
      <w:pPr>
        <w:keepNext w:val="0"/>
        <w:keepLines w:val="0"/>
        <w:pageBreakBefore w:val="0"/>
        <w:widowControl w:val="0"/>
        <w:kinsoku/>
        <w:wordWrap/>
        <w:overflowPunct/>
        <w:topLinePunct w:val="0"/>
        <w:autoSpaceDE/>
        <w:autoSpaceDN/>
        <w:bidi w:val="0"/>
        <w:snapToGrid/>
        <w:spacing w:line="600" w:lineRule="exact"/>
        <w:ind w:firstLine="643"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
          <w:bCs/>
          <w:color w:val="000000"/>
          <w:sz w:val="32"/>
          <w:szCs w:val="32"/>
        </w:rPr>
        <w:t>三、聘任条件与岗位职责</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shd w:val="clear" w:color="FFFFFF" w:fill="D9D9D9"/>
        </w:rPr>
      </w:pPr>
      <w:r>
        <w:rPr>
          <w:rFonts w:hint="default" w:ascii="Times New Roman" w:hAnsi="Times New Roman" w:eastAsia="仿宋_GB2312" w:cs="Times New Roman"/>
          <w:bCs/>
          <w:color w:val="000000"/>
          <w:sz w:val="32"/>
          <w:szCs w:val="32"/>
        </w:rPr>
        <w:t>1.各学院（部）、</w:t>
      </w:r>
      <w:r>
        <w:rPr>
          <w:rFonts w:hint="default" w:ascii="Times New Roman" w:hAnsi="Times New Roman" w:eastAsia="仿宋_GB2312" w:cs="Times New Roman"/>
          <w:color w:val="000000"/>
          <w:sz w:val="32"/>
          <w:szCs w:val="32"/>
        </w:rPr>
        <w:t>校级直属研究机构</w:t>
      </w:r>
      <w:r>
        <w:rPr>
          <w:rFonts w:hint="default" w:ascii="Times New Roman" w:hAnsi="Times New Roman" w:eastAsia="仿宋_GB2312" w:cs="Times New Roman"/>
          <w:bCs/>
          <w:color w:val="000000"/>
          <w:sz w:val="32"/>
          <w:szCs w:val="32"/>
        </w:rPr>
        <w:t>要对照</w:t>
      </w:r>
      <w:r>
        <w:rPr>
          <w:rFonts w:hint="default" w:ascii="Times New Roman" w:hAnsi="Times New Roman" w:eastAsia="仿宋_GB2312" w:cs="Times New Roman"/>
          <w:color w:val="000000"/>
          <w:sz w:val="32"/>
          <w:szCs w:val="32"/>
        </w:rPr>
        <w:t>《浙江工业大学教师等岗位任期聘任基本申报条件》、</w:t>
      </w:r>
      <w:r>
        <w:rPr>
          <w:rFonts w:hint="default" w:ascii="Times New Roman" w:hAnsi="Times New Roman" w:eastAsia="仿宋_GB2312" w:cs="Times New Roman"/>
          <w:bCs/>
          <w:color w:val="000000"/>
          <w:sz w:val="32"/>
          <w:szCs w:val="32"/>
        </w:rPr>
        <w:t>《浙江工业大学教职工岗位职责》和</w:t>
      </w:r>
      <w:r>
        <w:rPr>
          <w:rFonts w:hint="default" w:ascii="Times New Roman" w:hAnsi="Times New Roman" w:eastAsia="仿宋_GB2312" w:cs="Times New Roman"/>
          <w:color w:val="000000"/>
          <w:sz w:val="32"/>
          <w:szCs w:val="32"/>
        </w:rPr>
        <w:t>《浙江工业大学专技四级以上岗位聘期基础目标任务</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bCs/>
          <w:color w:val="000000"/>
          <w:sz w:val="32"/>
          <w:szCs w:val="32"/>
        </w:rPr>
        <w:t>等文件要求，结合本单位实际，制定不低于学校规定要求和基本业绩条件的各类各级岗位具体聘任条件、岗位职责、目标任务和考核标准。报学校备案后，公布实施。</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2.</w:t>
      </w:r>
      <w:r>
        <w:rPr>
          <w:rFonts w:hint="default" w:ascii="Times New Roman" w:hAnsi="Times New Roman" w:eastAsia="仿宋_GB2312" w:cs="Times New Roman"/>
          <w:color w:val="000000"/>
          <w:sz w:val="32"/>
          <w:szCs w:val="32"/>
        </w:rPr>
        <w:t>校级直属研究机构负责人岗位的聘任条件、岗位职责、</w:t>
      </w:r>
      <w:r>
        <w:rPr>
          <w:rFonts w:hint="default" w:ascii="Times New Roman" w:hAnsi="Times New Roman" w:eastAsia="仿宋_GB2312" w:cs="Times New Roman"/>
          <w:bCs/>
          <w:color w:val="000000"/>
          <w:sz w:val="32"/>
          <w:szCs w:val="32"/>
        </w:rPr>
        <w:t>目标任务和考核标准</w:t>
      </w:r>
      <w:r>
        <w:rPr>
          <w:rFonts w:hint="default" w:ascii="Times New Roman" w:hAnsi="Times New Roman" w:eastAsia="仿宋_GB2312" w:cs="Times New Roman"/>
          <w:color w:val="000000"/>
          <w:sz w:val="32"/>
          <w:szCs w:val="32"/>
        </w:rPr>
        <w:t>由科学技术研究院和社会科学研究院等部门提出，报学校审核确定。</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Cs/>
          <w:color w:val="000000"/>
          <w:sz w:val="32"/>
          <w:szCs w:val="32"/>
        </w:rPr>
        <w:t>3.聘任人员在聘期内岗位调整或年度晋升高一层级岗位，其岗位职责和任务由学院作出相应调整。</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3"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
          <w:bCs/>
          <w:color w:val="000000"/>
          <w:sz w:val="32"/>
          <w:szCs w:val="32"/>
        </w:rPr>
        <w:t>四、岗位聘任办法与程序</w:t>
      </w:r>
    </w:p>
    <w:p>
      <w:pPr>
        <w:keepNext w:val="0"/>
        <w:keepLines w:val="0"/>
        <w:pageBreakBefore w:val="0"/>
        <w:widowControl w:val="0"/>
        <w:tabs>
          <w:tab w:val="left" w:pos="2310"/>
        </w:tabs>
        <w:kinsoku/>
        <w:wordWrap/>
        <w:overflowPunct/>
        <w:topLinePunct w:val="0"/>
        <w:autoSpaceDE/>
        <w:autoSpaceDN/>
        <w:bidi w:val="0"/>
        <w:snapToGrid/>
        <w:spacing w:line="600" w:lineRule="exact"/>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 xml:space="preserve">    （一）聘任具体办法</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r>
        <w:rPr>
          <w:rFonts w:hint="default" w:ascii="Times New Roman" w:hAnsi="Times New Roman" w:eastAsia="仿宋_GB2312" w:cs="Times New Roman"/>
          <w:color w:val="000000"/>
          <w:kern w:val="0"/>
          <w:sz w:val="32"/>
          <w:szCs w:val="32"/>
        </w:rPr>
        <w:t>各学院（部）按照竞聘上岗、按岗评聘、合同管理的原则，从高级岗位到低级岗位分级进行岗位聘任工作。</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2.聘任前，各学院（部）须对应聘人员在上一聘期所聘岗位的职责任务履行和完成情况进行考核评价，考核结果作为此次聘任的重要依据。</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Cs/>
          <w:color w:val="000000"/>
          <w:sz w:val="32"/>
          <w:szCs w:val="32"/>
        </w:rPr>
        <w:t>3.</w:t>
      </w:r>
      <w:r>
        <w:rPr>
          <w:rFonts w:hint="default" w:ascii="Times New Roman" w:hAnsi="Times New Roman" w:eastAsia="仿宋_GB2312" w:cs="Times New Roman"/>
          <w:color w:val="000000"/>
          <w:sz w:val="32"/>
          <w:szCs w:val="32"/>
        </w:rPr>
        <w:t>按照《浙江工业大学资深教授制度实施办法》认定的资深教授可直接续聘原岗位，免聘任程序，免聘任考核</w:t>
      </w:r>
      <w:r>
        <w:rPr>
          <w:rFonts w:hint="default" w:ascii="Times New Roman" w:hAnsi="Times New Roman" w:eastAsia="仿宋_GB2312" w:cs="Times New Roman"/>
          <w:color w:val="000000"/>
          <w:sz w:val="32"/>
          <w:szCs w:val="32"/>
          <w:lang w:eastAsia="zh-CN"/>
        </w:rPr>
        <w:t>。如聘任高一级岗位，则纳入相应聘任程序。</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Cs/>
          <w:color w:val="000000"/>
          <w:sz w:val="32"/>
          <w:szCs w:val="32"/>
        </w:rPr>
        <w:t>4.</w:t>
      </w:r>
      <w:r>
        <w:rPr>
          <w:rFonts w:hint="default" w:ascii="Times New Roman" w:hAnsi="Times New Roman" w:eastAsia="仿宋_GB2312" w:cs="Times New Roman"/>
          <w:color w:val="000000"/>
          <w:sz w:val="32"/>
          <w:szCs w:val="32"/>
        </w:rPr>
        <w:t>各类各级岗位聘任均应坚持择优上岗，没有合适人选的，可以虚位以待。未能聘任本层级岗位人员，可申请聘任下一层级的岗位。</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5.学院（部）的管理岗位聘任办法参照《浙江工业大学</w:t>
      </w:r>
      <w:r>
        <w:rPr>
          <w:rFonts w:hint="default" w:ascii="Times New Roman" w:hAnsi="Times New Roman" w:eastAsia="仿宋_GB2312" w:cs="Times New Roman"/>
          <w:color w:val="000000"/>
          <w:kern w:val="0"/>
          <w:sz w:val="32"/>
          <w:szCs w:val="32"/>
        </w:rPr>
        <w:t>机关等部门（单位）岗位设置与岗位聘任实施细则</w:t>
      </w:r>
      <w:r>
        <w:rPr>
          <w:rFonts w:hint="default" w:ascii="Times New Roman" w:hAnsi="Times New Roman" w:eastAsia="仿宋_GB2312" w:cs="Times New Roman"/>
          <w:color w:val="000000"/>
          <w:sz w:val="32"/>
          <w:szCs w:val="32"/>
        </w:rPr>
        <w:t>》执行，与机关部门岗位聘任同时开展。</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3" w:firstLineChars="200"/>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（二）聘任程序</w:t>
      </w:r>
    </w:p>
    <w:p>
      <w:pPr>
        <w:keepNext w:val="0"/>
        <w:keepLines w:val="0"/>
        <w:pageBreakBefore w:val="0"/>
        <w:widowControl w:val="0"/>
        <w:tabs>
          <w:tab w:val="left" w:pos="2310"/>
        </w:tabs>
        <w:kinsoku/>
        <w:wordWrap/>
        <w:overflowPunct/>
        <w:topLinePunct w:val="0"/>
        <w:autoSpaceDE/>
        <w:autoSpaceDN/>
        <w:bidi w:val="0"/>
        <w:adjustRightInd w:val="0"/>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1.公布岗位。各</w:t>
      </w:r>
      <w:r>
        <w:rPr>
          <w:rFonts w:hint="default" w:ascii="Times New Roman" w:hAnsi="Times New Roman" w:eastAsia="仿宋_GB2312" w:cs="Times New Roman"/>
          <w:bCs/>
          <w:color w:val="000000"/>
          <w:sz w:val="32"/>
          <w:szCs w:val="32"/>
        </w:rPr>
        <w:t>学院（部）公布各类各级岗位的名称、数量、职责任务以及聘任申报条件等岗位设置情况。</w:t>
      </w:r>
    </w:p>
    <w:p>
      <w:pPr>
        <w:keepNext w:val="0"/>
        <w:keepLines w:val="0"/>
        <w:pageBreakBefore w:val="0"/>
        <w:widowControl w:val="0"/>
        <w:tabs>
          <w:tab w:val="left" w:pos="2310"/>
        </w:tabs>
        <w:kinsoku/>
        <w:wordWrap/>
        <w:overflowPunct/>
        <w:topLinePunct w:val="0"/>
        <w:autoSpaceDE/>
        <w:autoSpaceDN/>
        <w:bidi w:val="0"/>
        <w:adjustRightInd w:val="0"/>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2.个人申请。应聘人员向设岗单位提出申请，填写《浙江工业大学岗位聘任申请表》，并提供有关业绩和成果的证明材料。跨单位应聘人员原则上应提前三天告知原单位。</w:t>
      </w:r>
    </w:p>
    <w:p>
      <w:pPr>
        <w:keepNext w:val="0"/>
        <w:keepLines w:val="0"/>
        <w:pageBreakBefore w:val="0"/>
        <w:widowControl w:val="0"/>
        <w:tabs>
          <w:tab w:val="left" w:pos="2310"/>
        </w:tabs>
        <w:kinsoku/>
        <w:wordWrap/>
        <w:overflowPunct/>
        <w:topLinePunct w:val="0"/>
        <w:autoSpaceDE/>
        <w:autoSpaceDN/>
        <w:bidi w:val="0"/>
        <w:adjustRightInd w:val="0"/>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3.资格审查。所在单位负责各岗位申报材料的审核以及申报资格的审查。根据需要，学校相关职能部门负责资格的复审。</w:t>
      </w:r>
    </w:p>
    <w:p>
      <w:pPr>
        <w:keepNext w:val="0"/>
        <w:keepLines w:val="0"/>
        <w:pageBreakBefore w:val="0"/>
        <w:widowControl w:val="0"/>
        <w:tabs>
          <w:tab w:val="left" w:pos="2310"/>
        </w:tabs>
        <w:kinsoku/>
        <w:wordWrap/>
        <w:overflowPunct/>
        <w:topLinePunct w:val="0"/>
        <w:autoSpaceDE/>
        <w:autoSpaceDN/>
        <w:bidi w:val="0"/>
        <w:adjustRightInd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rPr>
        <w:t>4.材料公示。各学院（部）</w:t>
      </w:r>
      <w:r>
        <w:rPr>
          <w:rFonts w:hint="default" w:ascii="Times New Roman" w:hAnsi="Times New Roman" w:eastAsia="仿宋_GB2312" w:cs="Times New Roman"/>
          <w:bCs/>
          <w:color w:val="000000"/>
          <w:sz w:val="32"/>
          <w:szCs w:val="32"/>
        </w:rPr>
        <w:t>岗位设置聘任委员会（小组）</w:t>
      </w:r>
      <w:r>
        <w:rPr>
          <w:rFonts w:hint="default" w:ascii="Times New Roman" w:hAnsi="Times New Roman" w:eastAsia="仿宋_GB2312" w:cs="Times New Roman"/>
          <w:color w:val="000000"/>
          <w:sz w:val="32"/>
          <w:szCs w:val="32"/>
        </w:rPr>
        <w:t>在推荐和评审前，</w:t>
      </w:r>
      <w:r>
        <w:rPr>
          <w:rFonts w:hint="default" w:ascii="Times New Roman" w:hAnsi="Times New Roman" w:eastAsia="仿宋_GB2312" w:cs="Times New Roman"/>
          <w:color w:val="000000"/>
          <w:kern w:val="0"/>
          <w:sz w:val="32"/>
          <w:szCs w:val="32"/>
        </w:rPr>
        <w:t>各类各级岗位的申报材料应在学院范围内进行公示。</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shd w:val="clear" w:color="FFFFFF" w:fill="D9D9D9"/>
        </w:rPr>
      </w:pPr>
      <w:r>
        <w:rPr>
          <w:rFonts w:hint="default" w:ascii="Times New Roman" w:hAnsi="Times New Roman" w:eastAsia="仿宋_GB2312" w:cs="Times New Roman"/>
          <w:bCs/>
          <w:color w:val="000000"/>
          <w:sz w:val="32"/>
          <w:szCs w:val="32"/>
        </w:rPr>
        <w:t>5</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bCs/>
          <w:color w:val="000000"/>
          <w:sz w:val="32"/>
          <w:szCs w:val="32"/>
        </w:rPr>
        <w:t>学术评价。各学院（部）学术委员会对应聘人员是否达到所申报专业技术岗位的学术水平进行评价。</w:t>
      </w:r>
    </w:p>
    <w:p>
      <w:pPr>
        <w:keepNext w:val="0"/>
        <w:keepLines w:val="0"/>
        <w:pageBreakBefore w:val="0"/>
        <w:widowControl w:val="0"/>
        <w:tabs>
          <w:tab w:val="left" w:pos="2310"/>
        </w:tabs>
        <w:kinsoku/>
        <w:wordWrap/>
        <w:overflowPunct/>
        <w:topLinePunct w:val="0"/>
        <w:autoSpaceDE/>
        <w:autoSpaceDN/>
        <w:bidi w:val="0"/>
        <w:adjustRightInd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6.学院（部）评审推荐。各</w:t>
      </w:r>
      <w:r>
        <w:rPr>
          <w:rFonts w:hint="default" w:ascii="Times New Roman" w:hAnsi="Times New Roman" w:eastAsia="仿宋_GB2312" w:cs="Times New Roman"/>
          <w:color w:val="000000"/>
          <w:kern w:val="0"/>
          <w:sz w:val="32"/>
          <w:szCs w:val="32"/>
        </w:rPr>
        <w:t>学院（部）“</w:t>
      </w:r>
      <w:r>
        <w:rPr>
          <w:rFonts w:hint="default" w:ascii="Times New Roman" w:hAnsi="Times New Roman" w:eastAsia="仿宋_GB2312" w:cs="Times New Roman"/>
          <w:bCs/>
          <w:color w:val="000000"/>
          <w:sz w:val="32"/>
          <w:szCs w:val="32"/>
        </w:rPr>
        <w:t>岗位设置聘任委员会（小组）”负责对应聘人员进行评审和推荐</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kern w:val="0"/>
          <w:sz w:val="32"/>
          <w:szCs w:val="32"/>
        </w:rPr>
        <w:t>对申请</w:t>
      </w:r>
      <w:r>
        <w:rPr>
          <w:rFonts w:hint="default" w:ascii="Times New Roman" w:hAnsi="Times New Roman" w:eastAsia="仿宋_GB2312" w:cs="Times New Roman"/>
          <w:color w:val="000000"/>
          <w:sz w:val="32"/>
          <w:szCs w:val="32"/>
        </w:rPr>
        <w:t>教师专业技术二级、三级岗位及其他专业技术三级岗位</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bCs/>
          <w:color w:val="000000"/>
          <w:sz w:val="32"/>
          <w:szCs w:val="32"/>
        </w:rPr>
        <w:t>学生思政</w:t>
      </w:r>
      <w:r>
        <w:rPr>
          <w:rFonts w:hint="default" w:ascii="Times New Roman" w:hAnsi="Times New Roman" w:eastAsia="仿宋_GB2312" w:cs="Times New Roman"/>
          <w:color w:val="000000"/>
          <w:kern w:val="0"/>
          <w:sz w:val="32"/>
          <w:szCs w:val="32"/>
        </w:rPr>
        <w:t>教育七级及以上岗位</w:t>
      </w:r>
      <w:r>
        <w:rPr>
          <w:rFonts w:hint="default" w:ascii="Times New Roman" w:hAnsi="Times New Roman" w:eastAsia="仿宋_GB2312" w:cs="Times New Roman"/>
          <w:color w:val="000000"/>
          <w:sz w:val="32"/>
          <w:szCs w:val="32"/>
        </w:rPr>
        <w:t>的</w:t>
      </w:r>
      <w:r>
        <w:rPr>
          <w:rFonts w:hint="default" w:ascii="Times New Roman" w:hAnsi="Times New Roman" w:eastAsia="仿宋_GB2312" w:cs="Times New Roman"/>
          <w:color w:val="000000"/>
          <w:kern w:val="0"/>
          <w:sz w:val="32"/>
          <w:szCs w:val="32"/>
        </w:rPr>
        <w:t>应聘人员进行评审，分别</w:t>
      </w:r>
      <w:r>
        <w:rPr>
          <w:rFonts w:hint="default" w:ascii="Times New Roman" w:hAnsi="Times New Roman" w:eastAsia="仿宋_GB2312" w:cs="Times New Roman"/>
          <w:color w:val="000000"/>
          <w:sz w:val="32"/>
          <w:szCs w:val="32"/>
        </w:rPr>
        <w:t>形成推荐意见；对申请</w:t>
      </w:r>
      <w:r>
        <w:rPr>
          <w:rFonts w:hint="default" w:ascii="Times New Roman" w:hAnsi="Times New Roman" w:eastAsia="仿宋_GB2312" w:cs="Times New Roman"/>
          <w:bCs/>
          <w:color w:val="000000"/>
          <w:sz w:val="32"/>
          <w:szCs w:val="32"/>
        </w:rPr>
        <w:t>教师及其他专业技术四级及以下岗位、</w:t>
      </w:r>
      <w:r>
        <w:rPr>
          <w:rFonts w:hint="default" w:ascii="Times New Roman" w:hAnsi="Times New Roman" w:eastAsia="仿宋_GB2312" w:cs="Times New Roman"/>
          <w:color w:val="000000"/>
          <w:sz w:val="32"/>
          <w:szCs w:val="32"/>
        </w:rPr>
        <w:t>学生思政教育专业技术七级以下岗位和管理岗位、工勤技能岗位</w:t>
      </w:r>
      <w:r>
        <w:rPr>
          <w:rFonts w:hint="default" w:ascii="Times New Roman" w:hAnsi="Times New Roman" w:eastAsia="仿宋_GB2312" w:cs="Times New Roman"/>
          <w:bCs/>
          <w:color w:val="000000"/>
          <w:sz w:val="32"/>
          <w:szCs w:val="32"/>
        </w:rPr>
        <w:t>的应聘人员进行评审，</w:t>
      </w:r>
      <w:r>
        <w:rPr>
          <w:rFonts w:hint="default" w:ascii="Times New Roman" w:hAnsi="Times New Roman" w:eastAsia="仿宋_GB2312" w:cs="Times New Roman"/>
          <w:color w:val="000000"/>
          <w:sz w:val="32"/>
          <w:szCs w:val="32"/>
        </w:rPr>
        <w:t>形成拟聘意见。</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7.学校评审。</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（1）学校学生思政教育岗位评聘委员会对申请学生思政教育专业技术三级及以上岗位的应聘人员进行评审，形成推荐意见；对学生思政教育专业技术四至七级岗位的应聘人员进行评审，形成拟聘意见。</w:t>
      </w:r>
    </w:p>
    <w:p>
      <w:pPr>
        <w:keepNext w:val="0"/>
        <w:keepLines w:val="0"/>
        <w:pageBreakBefore w:val="0"/>
        <w:widowControl w:val="0"/>
        <w:tabs>
          <w:tab w:val="left" w:pos="2310"/>
        </w:tabs>
        <w:kinsoku/>
        <w:wordWrap/>
        <w:overflowPunct/>
        <w:topLinePunct w:val="0"/>
        <w:autoSpaceDE/>
        <w:autoSpaceDN/>
        <w:bidi w:val="0"/>
        <w:snapToGrid/>
        <w:spacing w:line="600" w:lineRule="exac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Cs/>
          <w:color w:val="000000"/>
          <w:sz w:val="32"/>
          <w:szCs w:val="32"/>
        </w:rPr>
        <w:t xml:space="preserve">    （2）学校“专业技术高级岗位评聘委员会”对</w:t>
      </w:r>
      <w:r>
        <w:rPr>
          <w:rFonts w:hint="default" w:ascii="Times New Roman" w:hAnsi="Times New Roman" w:eastAsia="仿宋_GB2312" w:cs="Times New Roman"/>
          <w:color w:val="000000"/>
          <w:kern w:val="0"/>
          <w:sz w:val="32"/>
          <w:szCs w:val="32"/>
        </w:rPr>
        <w:t>申请</w:t>
      </w:r>
      <w:r>
        <w:rPr>
          <w:rFonts w:hint="default" w:ascii="Times New Roman" w:hAnsi="Times New Roman" w:eastAsia="仿宋_GB2312" w:cs="Times New Roman"/>
          <w:color w:val="000000"/>
          <w:sz w:val="32"/>
          <w:szCs w:val="32"/>
        </w:rPr>
        <w:t>教师（含学生思政教育）专业技术二级、三级岗位及其他专业技术三级岗位</w:t>
      </w:r>
      <w:r>
        <w:rPr>
          <w:rFonts w:hint="default" w:ascii="Times New Roman" w:hAnsi="Times New Roman" w:eastAsia="仿宋_GB2312" w:cs="Times New Roman"/>
          <w:color w:val="000000"/>
          <w:kern w:val="0"/>
          <w:sz w:val="32"/>
          <w:szCs w:val="32"/>
        </w:rPr>
        <w:t>的应聘人员进行评审</w:t>
      </w:r>
      <w:r>
        <w:rPr>
          <w:rFonts w:hint="default" w:ascii="Times New Roman" w:hAnsi="Times New Roman" w:eastAsia="仿宋_GB2312" w:cs="Times New Roman"/>
          <w:bCs/>
          <w:color w:val="000000"/>
          <w:sz w:val="32"/>
          <w:szCs w:val="32"/>
        </w:rPr>
        <w:t>，形成拟聘意见</w:t>
      </w:r>
      <w:r>
        <w:rPr>
          <w:rFonts w:hint="eastAsia" w:ascii="Times New Roman" w:hAnsi="Times New Roman" w:cs="Times New Roman"/>
          <w:color w:val="000000"/>
          <w:sz w:val="32"/>
          <w:szCs w:val="32"/>
          <w:lang w:eastAsia="zh-CN"/>
        </w:rPr>
        <w:t>；</w:t>
      </w:r>
      <w:r>
        <w:rPr>
          <w:rFonts w:hint="eastAsia" w:ascii="Times New Roman" w:hAnsi="Times New Roman" w:cs="Times New Roman"/>
          <w:bCs/>
          <w:color w:val="000000"/>
          <w:sz w:val="32"/>
          <w:szCs w:val="32"/>
          <w:lang w:val="en-US" w:eastAsia="zh-CN"/>
        </w:rPr>
        <w:t>审核专业技术四级岗位的应聘人员。</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z w:val="32"/>
          <w:szCs w:val="32"/>
        </w:rPr>
        <w:t>8.结果公示。学校评审</w:t>
      </w:r>
      <w:r>
        <w:rPr>
          <w:rFonts w:hint="default" w:ascii="Times New Roman" w:hAnsi="Times New Roman" w:eastAsia="仿宋_GB2312" w:cs="Times New Roman"/>
          <w:color w:val="000000"/>
          <w:kern w:val="0"/>
          <w:sz w:val="32"/>
          <w:szCs w:val="32"/>
        </w:rPr>
        <w:t>的</w:t>
      </w:r>
      <w:r>
        <w:rPr>
          <w:rFonts w:hint="default" w:ascii="Times New Roman" w:hAnsi="Times New Roman" w:eastAsia="仿宋_GB2312" w:cs="Times New Roman"/>
          <w:color w:val="000000"/>
          <w:sz w:val="32"/>
          <w:szCs w:val="32"/>
        </w:rPr>
        <w:t>拟聘人员在全校范围内公示，学院（部）评审</w:t>
      </w:r>
      <w:r>
        <w:rPr>
          <w:rFonts w:hint="default" w:ascii="Times New Roman" w:hAnsi="Times New Roman" w:eastAsia="仿宋_GB2312" w:cs="Times New Roman"/>
          <w:bCs/>
          <w:color w:val="000000"/>
          <w:sz w:val="32"/>
          <w:szCs w:val="32"/>
        </w:rPr>
        <w:t>的</w:t>
      </w:r>
      <w:r>
        <w:rPr>
          <w:rFonts w:hint="default" w:ascii="Times New Roman" w:hAnsi="Times New Roman" w:eastAsia="仿宋_GB2312" w:cs="Times New Roman"/>
          <w:color w:val="000000"/>
          <w:sz w:val="32"/>
          <w:szCs w:val="32"/>
        </w:rPr>
        <w:t>拟聘人员由各学院（部）在本单位范围内公示。</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z w:val="32"/>
          <w:szCs w:val="32"/>
        </w:rPr>
        <w:t>9.学校审定。学校“岗位设置与聘任领导小组”审定各类各级岗位人员聘任结果。</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color w:val="000000"/>
          <w:sz w:val="32"/>
          <w:szCs w:val="32"/>
        </w:rPr>
        <w:t>10.发文聘任、签订协议。专业技术三级及以上人员以及校级直属研究机构负责人由学校发文聘任；各学院（部）专业技术四级岗位和其他岗位人员由人事处批复发文聘任；学校其他岗位人员由人事处发文聘任。根据职能权限，与上岗人员签订岗位聘任协议。</w:t>
      </w:r>
    </w:p>
    <w:p>
      <w:pPr>
        <w:keepNext w:val="0"/>
        <w:keepLines w:val="0"/>
        <w:pageBreakBefore w:val="0"/>
        <w:widowControl w:val="0"/>
        <w:tabs>
          <w:tab w:val="left" w:pos="2310"/>
        </w:tabs>
        <w:kinsoku/>
        <w:wordWrap/>
        <w:overflowPunct/>
        <w:topLinePunct w:val="0"/>
        <w:autoSpaceDE/>
        <w:autoSpaceDN/>
        <w:bidi w:val="0"/>
        <w:snapToGrid/>
        <w:spacing w:line="600" w:lineRule="exact"/>
        <w:ind w:firstLine="630" w:firstLineChars="196"/>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五、聘任申请材料要求</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1.本次岗位聘任时所涉及到的工作业绩材料以及任职年限计算的截止时间为2019年12月31日。</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2.申请材料必须真实，如有弄虚作假，一经查实，取消聘任资格。应聘人员应对所提供的材料是否真实且符合学术规范作出承诺。</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应聘人员在浙江工业大学工作期间，其递交的各类论文、项目、奖励等业绩材料第一署名单位必须为“浙江工业大学”。在职攻读博士、从事博士后研究或公派出国（境）留学的教师，与博士就读单位、博士后工作单位或国（境）外留学单位合作，以第一作者发表论文并署名浙江工业大学的，可以列入业绩统计。</w:t>
      </w:r>
    </w:p>
    <w:p>
      <w:pPr>
        <w:keepNext w:val="0"/>
        <w:keepLines w:val="0"/>
        <w:pageBreakBefore w:val="0"/>
        <w:widowControl w:val="0"/>
        <w:kinsoku/>
        <w:wordWrap/>
        <w:overflowPunct/>
        <w:topLinePunct w:val="0"/>
        <w:autoSpaceDE/>
        <w:autoSpaceDN/>
        <w:bidi w:val="0"/>
        <w:snapToGrid/>
        <w:spacing w:line="600" w:lineRule="exact"/>
        <w:ind w:firstLine="643"/>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六、聘期管理与考核</w:t>
      </w:r>
    </w:p>
    <w:p>
      <w:pPr>
        <w:keepNext w:val="0"/>
        <w:keepLines w:val="0"/>
        <w:pageBreakBefore w:val="0"/>
        <w:widowControl w:val="0"/>
        <w:kinsoku/>
        <w:wordWrap/>
        <w:overflowPunct/>
        <w:topLinePunct w:val="0"/>
        <w:autoSpaceDE/>
        <w:autoSpaceDN/>
        <w:bidi w:val="0"/>
        <w:snapToGrid/>
        <w:spacing w:line="600" w:lineRule="exact"/>
        <w:ind w:firstLine="643" w:firstLineChars="200"/>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（一）聘期管理</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Cs/>
          <w:color w:val="000000"/>
          <w:sz w:val="32"/>
          <w:szCs w:val="32"/>
        </w:rPr>
        <w:t>1.本轮岗位聘任聘期为4年</w:t>
      </w:r>
      <w:r>
        <w:rPr>
          <w:rFonts w:hint="default" w:ascii="Times New Roman" w:hAnsi="Times New Roman" w:eastAsia="仿宋_GB2312" w:cs="Times New Roman"/>
          <w:color w:val="000000"/>
          <w:sz w:val="32"/>
          <w:szCs w:val="32"/>
        </w:rPr>
        <w:t>，从2020年1月1日至2023年12月31日，</w:t>
      </w:r>
      <w:r>
        <w:rPr>
          <w:rFonts w:hint="default" w:ascii="Times New Roman" w:hAnsi="Times New Roman" w:eastAsia="仿宋_GB2312" w:cs="Times New Roman"/>
          <w:color w:val="000000"/>
          <w:kern w:val="0"/>
          <w:sz w:val="32"/>
          <w:szCs w:val="32"/>
        </w:rPr>
        <w:t xml:space="preserve">工作年限及工龄计算截止时间为2019年12月31日。 </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2.专业技术岗位试行</w:t>
      </w:r>
      <w:r>
        <w:rPr>
          <w:rFonts w:hint="default" w:ascii="Times New Roman" w:hAnsi="Times New Roman" w:eastAsia="仿宋_GB2312" w:cs="Times New Roman"/>
          <w:bCs/>
          <w:color w:val="000000"/>
          <w:sz w:val="32"/>
          <w:szCs w:val="32"/>
          <w:lang w:val="en-US" w:eastAsia="zh-CN"/>
        </w:rPr>
        <w:t>聘期</w:t>
      </w:r>
      <w:r>
        <w:rPr>
          <w:rFonts w:hint="default" w:ascii="Times New Roman" w:hAnsi="Times New Roman" w:eastAsia="仿宋_GB2312" w:cs="Times New Roman"/>
          <w:bCs/>
          <w:color w:val="000000"/>
          <w:sz w:val="32"/>
          <w:szCs w:val="32"/>
        </w:rPr>
        <w:t>中期部分岗级调整，具体办法另行制定。聘期内，其他所聘岗位一般不作调整。确因工作需要，需在专业技术、管理和工勤技能三类岗位之间进行调整的，应符合相应岗位类别和岗位等级的聘任条件。其他类别岗位人员原则上不能转聘教师岗位，如确有需要，且引进单位（部门）尚有空缺岗位，须达到所聘岗位的基本申报条件（含教师岗位之间的流动）。如涉及跨学院（部）转聘，由双方学院（部）同意后，报人事处审批。</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3.聘期内，在岗位有空缺的条件下，进行年度专业技术职务不同层级岗位的晋升评聘、管理职员等级和工勤技能岗位等级晋升评聘。</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4.各学院（部）应根据《浙江工业大学岗位绩效工资实施细则》要求，强化绩效考核，做好教职工岗位薪酬的分配、发放和管理工作。</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Cs/>
          <w:color w:val="000000"/>
          <w:sz w:val="32"/>
          <w:szCs w:val="32"/>
        </w:rPr>
        <w:t>5.聘任到教师岗位的“双肩挑”干部，其</w:t>
      </w:r>
      <w:r>
        <w:rPr>
          <w:rFonts w:hint="default" w:ascii="Times New Roman" w:hAnsi="Times New Roman" w:eastAsia="仿宋_GB2312" w:cs="Times New Roman"/>
          <w:color w:val="000000"/>
          <w:sz w:val="32"/>
          <w:szCs w:val="32"/>
        </w:rPr>
        <w:t>岗位绩效津贴可按照专业技术岗位发放。涉及教学科研绩效奖励部分由各学院（部）研究决定。</w:t>
      </w:r>
    </w:p>
    <w:p>
      <w:pPr>
        <w:keepNext w:val="0"/>
        <w:keepLines w:val="0"/>
        <w:pageBreakBefore w:val="0"/>
        <w:widowControl w:val="0"/>
        <w:kinsoku/>
        <w:wordWrap/>
        <w:overflowPunct/>
        <w:topLinePunct w:val="0"/>
        <w:autoSpaceDE/>
        <w:autoSpaceDN/>
        <w:bidi w:val="0"/>
        <w:snapToGrid/>
        <w:spacing w:line="600" w:lineRule="exact"/>
        <w:ind w:firstLine="643" w:firstLineChars="200"/>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（二）聘期考核</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1.所有上岗人员与聘任单位签订岗位聘任协议。协议应明确职责要求和目标任务等，按审批权限经批准后成为岗位聘约。聘任协议作为聘期考核的依据。</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岗位考核采用年度考核和聘期考核相结合的方式，由各学院（部）负责具体实施。主要考核思想政治表现、职业道德、工作态度和绩效情况，考核的重点是按聘约检查履行岗位职责的情况和进展程度。年度考核可以</w:t>
      </w:r>
      <w:r>
        <w:rPr>
          <w:rFonts w:hint="default" w:ascii="Times New Roman" w:hAnsi="Times New Roman" w:eastAsia="仿宋_GB2312" w:cs="Times New Roman"/>
          <w:color w:val="000000"/>
          <w:kern w:val="0"/>
          <w:sz w:val="32"/>
          <w:szCs w:val="32"/>
          <w:lang w:eastAsia="zh-CN"/>
        </w:rPr>
        <w:t>以</w:t>
      </w:r>
      <w:r>
        <w:rPr>
          <w:rFonts w:hint="default" w:ascii="Times New Roman" w:hAnsi="Times New Roman" w:eastAsia="仿宋_GB2312" w:cs="Times New Roman"/>
          <w:color w:val="000000"/>
          <w:kern w:val="0"/>
          <w:sz w:val="32"/>
          <w:szCs w:val="32"/>
        </w:rPr>
        <w:t>团队形式进行考核，聘期考核须严格对照聘约要求进行个人考核。年度考核分为优秀、合格、不合格三个档次，年度考核结果记入档案，作为奖惩、工资晋升和聘期考核的重要依据；</w:t>
      </w:r>
      <w:r>
        <w:rPr>
          <w:rFonts w:hint="default" w:ascii="Times New Roman" w:hAnsi="Times New Roman" w:eastAsia="仿宋_GB2312" w:cs="Times New Roman"/>
          <w:color w:val="000000"/>
          <w:sz w:val="32"/>
          <w:szCs w:val="32"/>
        </w:rPr>
        <w:t>连续2个年度考核不合格，</w:t>
      </w:r>
      <w:r>
        <w:rPr>
          <w:rFonts w:hint="default" w:ascii="Times New Roman" w:hAnsi="Times New Roman" w:eastAsia="仿宋_GB2312" w:cs="Times New Roman"/>
          <w:bCs/>
          <w:color w:val="000000"/>
          <w:sz w:val="32"/>
          <w:szCs w:val="32"/>
        </w:rPr>
        <w:t>解除聘用合同。</w:t>
      </w:r>
      <w:r>
        <w:rPr>
          <w:rFonts w:hint="default" w:ascii="Times New Roman" w:hAnsi="Times New Roman" w:eastAsia="仿宋_GB2312" w:cs="Times New Roman"/>
          <w:color w:val="000000"/>
          <w:kern w:val="0"/>
          <w:sz w:val="32"/>
          <w:szCs w:val="32"/>
        </w:rPr>
        <w:t>聘期考核分为合格、不合格两个等级。聘期考核不合格的，不能再续聘原岗位或更高的岗位，一般应降级聘任，或解除聘用合同。</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3.“双肩挑”干部实行“双岗双考”，分别就教学科研等专业技术工作和管理工作进行考核。其中，专业技术工作由相关学院（部）考核。专业技术岗位的目标任务（课堂教学学时除外）要求不少于同等级专业技术岗位的50%，学年本科课堂教学学时应达到教育部规定的要求。</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4.上岗人员到达学校有关规定的退休年龄或聘用合同到期不再继续聘用者，聘期自动终止。</w:t>
      </w:r>
    </w:p>
    <w:p>
      <w:pPr>
        <w:keepNext w:val="0"/>
        <w:keepLines w:val="0"/>
        <w:pageBreakBefore w:val="0"/>
        <w:widowControl w:val="0"/>
        <w:kinsoku/>
        <w:wordWrap/>
        <w:overflowPunct/>
        <w:topLinePunct w:val="0"/>
        <w:autoSpaceDE/>
        <w:autoSpaceDN/>
        <w:bidi w:val="0"/>
        <w:snapToGrid/>
        <w:spacing w:line="600" w:lineRule="exact"/>
        <w:ind w:firstLine="630" w:firstLineChars="196"/>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七、其他有关政策</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聘任岗位类型一般应与专业技术职务分类相一致。评聘为教学为主型专业技术职务的教师原则上应聘任教学为主型教师岗位。受聘在教师岗位的人员应具有高校教师专业技术职务，不具有高校教师专业技术职务目前聘任在教师岗位的人员，符合岗位上岗条件下本轮聘期内可继续聘任，</w:t>
      </w:r>
      <w:r>
        <w:rPr>
          <w:rFonts w:hint="default" w:ascii="Times New Roman" w:hAnsi="Times New Roman" w:eastAsia="仿宋_GB2312" w:cs="Times New Roman"/>
          <w:color w:val="000000"/>
          <w:sz w:val="32"/>
          <w:szCs w:val="32"/>
          <w:lang w:val="en-US" w:eastAsia="zh-CN"/>
        </w:rPr>
        <w:t>原则上</w:t>
      </w:r>
      <w:r>
        <w:rPr>
          <w:rFonts w:hint="default" w:ascii="Times New Roman" w:hAnsi="Times New Roman" w:eastAsia="仿宋_GB2312" w:cs="Times New Roman"/>
          <w:color w:val="000000"/>
          <w:sz w:val="32"/>
          <w:szCs w:val="32"/>
        </w:rPr>
        <w:t>只可聘任至本层级岗位的最低等级。受聘其他专业技术岗位人员出现同类情况，按照此规定执行。</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color w:val="000000"/>
          <w:sz w:val="32"/>
          <w:szCs w:val="32"/>
        </w:rPr>
        <w:t>2.由管理岗位转聘到专业技术岗位，曾聘任专业技术职务人员，专业技术职务同所聘岗位相对应的，同一专业技术职务前后任职时间可累加计算；专业技术职务同所聘岗位不相对应的，按上一条规定执行。此次聘任中，</w:t>
      </w:r>
      <w:r>
        <w:rPr>
          <w:rFonts w:hint="default" w:ascii="Times New Roman" w:hAnsi="Times New Roman" w:eastAsia="仿宋_GB2312" w:cs="Times New Roman"/>
          <w:bCs/>
          <w:color w:val="000000"/>
          <w:sz w:val="32"/>
          <w:szCs w:val="32"/>
        </w:rPr>
        <w:t>申请由管理等其他岗位转聘教师岗位的人员需满足本细则“聘期管理与考核”中规定的相关条件。</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3.工作业绩特别突出人员，达到学院相应破格申报条件，可不受任职年限限制，在副高级及以下专业技术职务的同一层级内破格申报。</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shd w:val="clear" w:color="FFFFFF" w:fill="D9D9D9"/>
        </w:rPr>
      </w:pPr>
      <w:r>
        <w:rPr>
          <w:rFonts w:hint="default" w:ascii="Times New Roman" w:hAnsi="Times New Roman" w:eastAsia="仿宋_GB2312" w:cs="Times New Roman"/>
          <w:color w:val="000000"/>
          <w:sz w:val="32"/>
          <w:szCs w:val="32"/>
        </w:rPr>
        <w:t>4.外单位调入人员，符合学校相应聘任条件，在学校权限范围和控制结构比例内，按照引进人才专业技术职务评聘相关政策执行。</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博士后工作期满出站，未取得高级专业技术职务的，可聘任到专业技术八级岗位；新参加工作具有博士学位的毕业生，试用期满考核合格并取得中级专业技术职务人员，可聘任在专业技术十级岗位；新参加工作具有硕士学位的毕业生，试用期满考核合格并取得助理级专业技术职务人员，可聘任在专业技术十二级岗位。</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距退休不满一个聘期（在2023年12月31日前退休）的</w:t>
      </w:r>
      <w:r>
        <w:rPr>
          <w:rFonts w:hint="default" w:ascii="Times New Roman" w:hAnsi="Times New Roman" w:eastAsia="仿宋_GB2312" w:cs="Times New Roman"/>
          <w:color w:val="000000"/>
          <w:kern w:val="0"/>
          <w:sz w:val="32"/>
          <w:szCs w:val="32"/>
        </w:rPr>
        <w:t>专业技术岗位人员</w:t>
      </w:r>
      <w:r>
        <w:rPr>
          <w:rFonts w:hint="default" w:ascii="Times New Roman" w:hAnsi="Times New Roman" w:eastAsia="仿宋_GB2312" w:cs="Times New Roman"/>
          <w:color w:val="000000"/>
          <w:sz w:val="32"/>
          <w:szCs w:val="32"/>
        </w:rPr>
        <w:t>，上一聘期考核合格，</w:t>
      </w:r>
      <w:r>
        <w:rPr>
          <w:rFonts w:hint="default" w:ascii="Times New Roman" w:hAnsi="Times New Roman" w:eastAsia="仿宋_GB2312" w:cs="Times New Roman"/>
          <w:color w:val="000000"/>
          <w:kern w:val="0"/>
          <w:sz w:val="32"/>
          <w:szCs w:val="32"/>
        </w:rPr>
        <w:t>可保留原专业技术岗位等级，但计入岗位数，按所在学院要求完成岗位工作，按期退休。</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eastAsia" w:ascii="Times New Roman" w:hAnsi="Times New Roman" w:cs="Times New Roman"/>
          <w:bCs/>
          <w:color w:val="000000"/>
          <w:sz w:val="32"/>
          <w:szCs w:val="32"/>
          <w:lang w:val="en-US" w:eastAsia="zh-CN"/>
        </w:rPr>
        <w:t>7</w:t>
      </w:r>
      <w:r>
        <w:rPr>
          <w:rFonts w:hint="default" w:ascii="Times New Roman" w:hAnsi="Times New Roman" w:eastAsia="仿宋_GB2312" w:cs="Times New Roman"/>
          <w:bCs/>
          <w:color w:val="000000"/>
          <w:sz w:val="32"/>
          <w:szCs w:val="32"/>
        </w:rPr>
        <w:t>.</w:t>
      </w:r>
      <w:r>
        <w:rPr>
          <w:rFonts w:hint="default" w:ascii="Times New Roman" w:hAnsi="Times New Roman" w:eastAsia="仿宋_GB2312" w:cs="Times New Roman"/>
          <w:color w:val="000000"/>
          <w:sz w:val="32"/>
          <w:szCs w:val="32"/>
        </w:rPr>
        <w:t>公派出国（境）、外派挂职等人员应参加本轮岗位聘任，视出国（境）和挂职时间，减免相应工作量。</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Times New Roman" w:hAnsi="Times New Roman" w:cs="Times New Roman"/>
          <w:color w:val="000000"/>
          <w:kern w:val="0"/>
          <w:sz w:val="32"/>
          <w:szCs w:val="32"/>
          <w:lang w:val="en-US" w:eastAsia="zh-CN"/>
        </w:rPr>
        <w:t>8.</w:t>
      </w:r>
      <w:r>
        <w:rPr>
          <w:rFonts w:hint="default" w:ascii="Times New Roman" w:hAnsi="Times New Roman" w:eastAsia="仿宋_GB2312" w:cs="Times New Roman"/>
          <w:color w:val="000000"/>
          <w:kern w:val="0"/>
          <w:sz w:val="32"/>
          <w:szCs w:val="32"/>
        </w:rPr>
        <w:t>本轮聘任中，四级及以下高级专业技术职务人员，虽未达到教师岗位规定的聘任条件，按照相应聘任条件聘至管理岗位的，岗位类别作相应调整，本轮聘期可保留原聘任岗位</w:t>
      </w:r>
      <w:r>
        <w:rPr>
          <w:rFonts w:hint="default" w:ascii="Times New Roman" w:hAnsi="Times New Roman" w:eastAsia="仿宋_GB2312" w:cs="Times New Roman"/>
          <w:color w:val="000000"/>
          <w:kern w:val="0"/>
          <w:sz w:val="32"/>
          <w:szCs w:val="32"/>
          <w:lang w:eastAsia="zh-CN"/>
        </w:rPr>
        <w:t>绩效津贴</w:t>
      </w:r>
      <w:r>
        <w:rPr>
          <w:rFonts w:hint="default" w:ascii="Times New Roman" w:hAnsi="Times New Roman" w:eastAsia="仿宋_GB2312" w:cs="Times New Roman"/>
          <w:color w:val="000000"/>
          <w:kern w:val="0"/>
          <w:sz w:val="32"/>
          <w:szCs w:val="32"/>
        </w:rPr>
        <w:t>待遇；聘至其他专业技术岗位的，本轮聘期可保留原聘任岗位等级。按照之江学院的岗位聘任条件聘至之江学院，岗位薪酬待遇按之江学院的规定执行。</w:t>
      </w:r>
      <w:r>
        <w:rPr>
          <w:rFonts w:hint="default" w:ascii="Times New Roman" w:hAnsi="Times New Roman" w:eastAsia="仿宋_GB2312" w:cs="Times New Roman"/>
          <w:color w:val="000000"/>
          <w:sz w:val="32"/>
          <w:szCs w:val="32"/>
        </w:rPr>
        <w:t>管理岗人员按照相应聘任条件聘至其他专业技术岗的，本轮岗聘保留原聘任岗位</w:t>
      </w:r>
      <w:r>
        <w:rPr>
          <w:rFonts w:hint="default" w:ascii="Times New Roman" w:hAnsi="Times New Roman" w:eastAsia="仿宋_GB2312" w:cs="Times New Roman"/>
          <w:color w:val="000000"/>
          <w:sz w:val="32"/>
          <w:szCs w:val="32"/>
          <w:lang w:eastAsia="zh-CN"/>
        </w:rPr>
        <w:t>绩效津贴</w:t>
      </w:r>
      <w:r>
        <w:rPr>
          <w:rFonts w:hint="default" w:ascii="Times New Roman" w:hAnsi="Times New Roman" w:eastAsia="仿宋_GB2312" w:cs="Times New Roman"/>
          <w:color w:val="000000"/>
          <w:sz w:val="32"/>
          <w:szCs w:val="32"/>
        </w:rPr>
        <w:t>待遇。</w:t>
      </w:r>
      <w:r>
        <w:rPr>
          <w:rFonts w:hint="default" w:ascii="Times New Roman" w:hAnsi="Times New Roman" w:eastAsia="仿宋_GB2312" w:cs="Times New Roman"/>
          <w:color w:val="000000"/>
          <w:kern w:val="0"/>
          <w:sz w:val="32"/>
          <w:szCs w:val="32"/>
        </w:rPr>
        <w:t>在之江学院现聘人员，如参加学校本部岗位聘任的，须按相应上岗条件参加竞聘。</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shd w:val="pct10" w:color="auto" w:fill="FFFFFF"/>
        </w:rPr>
      </w:pPr>
      <w:r>
        <w:rPr>
          <w:rFonts w:hint="eastAsia" w:ascii="Times New Roman" w:hAnsi="Times New Roman" w:cs="Times New Roman"/>
          <w:color w:val="000000"/>
          <w:sz w:val="32"/>
          <w:szCs w:val="32"/>
          <w:lang w:val="en-US" w:eastAsia="zh-CN"/>
        </w:rPr>
        <w:t>9</w:t>
      </w:r>
      <w:r>
        <w:rPr>
          <w:rFonts w:hint="default" w:ascii="Times New Roman" w:hAnsi="Times New Roman" w:eastAsia="仿宋_GB2312" w:cs="Times New Roman"/>
          <w:color w:val="000000"/>
          <w:sz w:val="32"/>
          <w:szCs w:val="32"/>
        </w:rPr>
        <w:t>.2020年6月30日仍在首聘期内的人员不参加本轮岗聘。首聘期结束后续聘人员，学院可参照本轮岗聘的上岗条件进行岗位聘任，确定岗位等级，并结合本聘期结束时间，酌情确定岗位职责和目标任务，签订岗位聘任协议。</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shd w:val="pct10" w:color="auto" w:fill="FFFFFF"/>
        </w:rPr>
      </w:pPr>
      <w:r>
        <w:rPr>
          <w:rFonts w:hint="default" w:ascii="Times New Roman" w:hAnsi="Times New Roman" w:eastAsia="仿宋_GB2312" w:cs="Times New Roman"/>
          <w:color w:val="000000"/>
          <w:sz w:val="32"/>
          <w:szCs w:val="32"/>
        </w:rPr>
        <w:t>1</w:t>
      </w:r>
      <w:r>
        <w:rPr>
          <w:rFonts w:hint="eastAsia" w:ascii="Times New Roman" w:hAnsi="Times New Roman" w:cs="Times New Roman"/>
          <w:color w:val="000000"/>
          <w:sz w:val="32"/>
          <w:szCs w:val="32"/>
          <w:lang w:val="en-US" w:eastAsia="zh-CN"/>
        </w:rPr>
        <w:t>0</w:t>
      </w:r>
      <w:r>
        <w:rPr>
          <w:rFonts w:hint="default" w:ascii="Times New Roman" w:hAnsi="Times New Roman" w:eastAsia="仿宋_GB2312" w:cs="Times New Roman"/>
          <w:color w:val="000000"/>
          <w:sz w:val="32"/>
          <w:szCs w:val="32"/>
        </w:rPr>
        <w:t>.在本轮聘任中，对</w:t>
      </w:r>
      <w:r>
        <w:rPr>
          <w:rFonts w:hint="default" w:ascii="Times New Roman" w:hAnsi="Times New Roman" w:eastAsia="仿宋_GB2312" w:cs="Times New Roman"/>
          <w:color w:val="000000"/>
          <w:kern w:val="0"/>
          <w:sz w:val="32"/>
          <w:szCs w:val="32"/>
        </w:rPr>
        <w:t>核定岗位总数低于实有聘用数的学院（部），如超编制聘任，</w:t>
      </w:r>
      <w:r>
        <w:rPr>
          <w:rFonts w:hint="default" w:ascii="Times New Roman" w:hAnsi="Times New Roman" w:eastAsia="仿宋_GB2312" w:cs="Times New Roman"/>
          <w:color w:val="000000"/>
          <w:sz w:val="32"/>
          <w:szCs w:val="32"/>
        </w:rPr>
        <w:t>超编人数在岗位拨款时按一定比例核减。</w:t>
      </w:r>
    </w:p>
    <w:p>
      <w:pPr>
        <w:keepNext w:val="0"/>
        <w:keepLines w:val="0"/>
        <w:pageBreakBefore w:val="0"/>
        <w:widowControl w:val="0"/>
        <w:kinsoku/>
        <w:wordWrap/>
        <w:overflowPunct/>
        <w:topLinePunct w:val="0"/>
        <w:autoSpaceDE/>
        <w:autoSpaceDN/>
        <w:bidi w:val="0"/>
        <w:snapToGrid/>
        <w:spacing w:line="600" w:lineRule="exact"/>
        <w:ind w:firstLine="627"/>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八、投诉与申诉</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1.岗位聘任过程中，教职工有权对学院（部）和学校岗位聘任工作提出申诉或投诉。</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投诉或申诉可通过来信、来电、来访的形式，投诉、申诉必须以事实为依据，如经查实属于有意诬告的，学校将严肃处理。以单位（部门）名义反映问题的应加盖公章，以个人名义反映问题的须署本人真实姓名。承办单位（部门）须为投诉或申诉人保密。</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w:t>
      </w:r>
      <w:r>
        <w:rPr>
          <w:rFonts w:hint="default" w:ascii="Times New Roman" w:hAnsi="Times New Roman" w:eastAsia="仿宋_GB2312" w:cs="Times New Roman"/>
          <w:color w:val="000000"/>
          <w:sz w:val="32"/>
          <w:szCs w:val="32"/>
          <w:lang w:eastAsia="zh-CN"/>
        </w:rPr>
        <w:t>学</w:t>
      </w:r>
      <w:r>
        <w:rPr>
          <w:rFonts w:hint="default" w:ascii="Times New Roman" w:hAnsi="Times New Roman" w:eastAsia="仿宋_GB2312" w:cs="Times New Roman"/>
          <w:color w:val="000000"/>
          <w:sz w:val="32"/>
          <w:szCs w:val="32"/>
        </w:rPr>
        <w:t>院（部）“岗位聘任工作监督协调小组”，按照国家、省的政策和学校相关文件规定的要求，负责监督聘任过程，调解聘任过程中出现的矛盾，接受教职工的投诉或申诉。对申诉或投诉</w:t>
      </w:r>
      <w:r>
        <w:rPr>
          <w:rFonts w:hint="default" w:ascii="Times New Roman" w:hAnsi="Times New Roman" w:eastAsia="仿宋_GB2312" w:cs="Times New Roman"/>
          <w:color w:val="000000"/>
          <w:sz w:val="32"/>
          <w:szCs w:val="32"/>
          <w:lang w:eastAsia="zh-CN"/>
        </w:rPr>
        <w:t>情况</w:t>
      </w:r>
      <w:r>
        <w:rPr>
          <w:rFonts w:hint="default" w:ascii="Times New Roman" w:hAnsi="Times New Roman" w:eastAsia="仿宋_GB2312" w:cs="Times New Roman"/>
          <w:color w:val="000000"/>
          <w:sz w:val="32"/>
          <w:szCs w:val="32"/>
        </w:rPr>
        <w:t>核实后</w:t>
      </w:r>
      <w:r>
        <w:rPr>
          <w:rFonts w:hint="default" w:ascii="Times New Roman" w:hAnsi="Times New Roman" w:eastAsia="仿宋_GB2312" w:cs="Times New Roman"/>
          <w:color w:val="000000"/>
          <w:sz w:val="32"/>
          <w:szCs w:val="32"/>
          <w:lang w:eastAsia="zh-CN"/>
        </w:rPr>
        <w:t>提出处理建议</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由</w:t>
      </w:r>
      <w:r>
        <w:rPr>
          <w:rFonts w:hint="default" w:ascii="Times New Roman" w:hAnsi="Times New Roman" w:eastAsia="仿宋_GB2312" w:cs="Times New Roman"/>
          <w:color w:val="000000"/>
          <w:sz w:val="32"/>
          <w:szCs w:val="32"/>
        </w:rPr>
        <w:t>学校“岗位聘任工作监督协调小组”</w:t>
      </w:r>
      <w:r>
        <w:rPr>
          <w:rFonts w:hint="default" w:ascii="Times New Roman" w:hAnsi="Times New Roman" w:eastAsia="仿宋_GB2312" w:cs="Times New Roman"/>
          <w:color w:val="000000"/>
          <w:sz w:val="32"/>
          <w:szCs w:val="32"/>
          <w:lang w:eastAsia="zh-CN"/>
        </w:rPr>
        <w:t>进一步调查后，提请</w:t>
      </w:r>
      <w:r>
        <w:rPr>
          <w:rFonts w:hint="default" w:ascii="Times New Roman" w:hAnsi="Times New Roman" w:eastAsia="仿宋_GB2312" w:cs="Times New Roman"/>
          <w:color w:val="000000"/>
          <w:sz w:val="32"/>
          <w:szCs w:val="32"/>
        </w:rPr>
        <w:t>学校“岗位设置与聘任领导小组”审议。学校“岗位设置与聘任领导小组”的决定为校内最终裁决。</w:t>
      </w:r>
    </w:p>
    <w:p>
      <w:pPr>
        <w:keepNext w:val="0"/>
        <w:keepLines w:val="0"/>
        <w:pageBreakBefore w:val="0"/>
        <w:widowControl w:val="0"/>
        <w:kinsoku/>
        <w:wordWrap/>
        <w:overflowPunct/>
        <w:topLinePunct w:val="0"/>
        <w:autoSpaceDE/>
        <w:autoSpaceDN/>
        <w:bidi w:val="0"/>
        <w:snapToGrid/>
        <w:spacing w:line="600" w:lineRule="exact"/>
        <w:ind w:firstLine="627"/>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bCs/>
          <w:color w:val="000000"/>
          <w:sz w:val="32"/>
          <w:szCs w:val="32"/>
        </w:rPr>
        <w:t>九、组织领导</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color w:val="000000"/>
          <w:kern w:val="0"/>
          <w:sz w:val="32"/>
          <w:szCs w:val="32"/>
        </w:rPr>
        <w:t>1.岗位设置与聘任工作涉及广大教职工的切身利益，各学院（部）要高度重视，切实加强组织领导。</w:t>
      </w:r>
      <w:r>
        <w:rPr>
          <w:rFonts w:hint="default" w:ascii="Times New Roman" w:hAnsi="Times New Roman" w:eastAsia="仿宋_GB2312" w:cs="Times New Roman"/>
          <w:bCs/>
          <w:color w:val="000000"/>
          <w:sz w:val="32"/>
          <w:szCs w:val="32"/>
        </w:rPr>
        <w:t>各学院（部）应成立“岗位设置聘任委员会（小组）”和“</w:t>
      </w:r>
      <w:r>
        <w:rPr>
          <w:rFonts w:hint="default" w:ascii="Times New Roman" w:hAnsi="Times New Roman" w:eastAsia="仿宋_GB2312" w:cs="Times New Roman"/>
          <w:color w:val="000000"/>
          <w:sz w:val="32"/>
          <w:szCs w:val="32"/>
        </w:rPr>
        <w:t>岗位聘任工作监督协调小组”</w:t>
      </w:r>
      <w:r>
        <w:rPr>
          <w:rFonts w:hint="default" w:ascii="Times New Roman" w:hAnsi="Times New Roman" w:eastAsia="仿宋_GB2312" w:cs="Times New Roman"/>
          <w:bCs/>
          <w:color w:val="000000"/>
          <w:sz w:val="32"/>
          <w:szCs w:val="32"/>
        </w:rPr>
        <w:t>，</w:t>
      </w:r>
      <w:r>
        <w:rPr>
          <w:rFonts w:hint="default" w:ascii="Times New Roman" w:hAnsi="Times New Roman" w:eastAsia="仿宋_GB2312" w:cs="Times New Roman"/>
          <w:color w:val="000000"/>
          <w:kern w:val="0"/>
          <w:sz w:val="32"/>
          <w:szCs w:val="32"/>
        </w:rPr>
        <w:t>根据本细则等有关文件精神，</w:t>
      </w:r>
      <w:r>
        <w:rPr>
          <w:rFonts w:hint="default" w:ascii="Times New Roman" w:hAnsi="Times New Roman" w:eastAsia="仿宋_GB2312" w:cs="Times New Roman"/>
          <w:bCs/>
          <w:color w:val="000000"/>
          <w:sz w:val="32"/>
          <w:szCs w:val="32"/>
        </w:rPr>
        <w:t>组织</w:t>
      </w:r>
      <w:r>
        <w:rPr>
          <w:rFonts w:hint="default" w:ascii="Times New Roman" w:hAnsi="Times New Roman" w:eastAsia="仿宋_GB2312" w:cs="Times New Roman"/>
          <w:color w:val="000000"/>
          <w:kern w:val="0"/>
          <w:sz w:val="32"/>
          <w:szCs w:val="32"/>
        </w:rPr>
        <w:t>实施</w:t>
      </w:r>
      <w:r>
        <w:rPr>
          <w:rFonts w:hint="default" w:ascii="Times New Roman" w:hAnsi="Times New Roman" w:eastAsia="仿宋_GB2312" w:cs="Times New Roman"/>
          <w:bCs/>
          <w:color w:val="000000"/>
          <w:sz w:val="32"/>
          <w:szCs w:val="32"/>
        </w:rPr>
        <w:t>本单位的岗位设置与聘任</w:t>
      </w:r>
      <w:r>
        <w:rPr>
          <w:rFonts w:hint="default" w:ascii="Times New Roman" w:hAnsi="Times New Roman" w:eastAsia="仿宋_GB2312" w:cs="Times New Roman"/>
          <w:color w:val="000000"/>
          <w:kern w:val="0"/>
          <w:sz w:val="32"/>
          <w:szCs w:val="32"/>
        </w:rPr>
        <w:t>工作。</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shd w:val="pct10" w:color="auto" w:fill="FFFFFF"/>
        </w:rPr>
      </w:pPr>
      <w:r>
        <w:rPr>
          <w:rFonts w:hint="default" w:ascii="Times New Roman" w:hAnsi="Times New Roman" w:eastAsia="仿宋_GB2312" w:cs="Times New Roman"/>
          <w:bCs/>
          <w:color w:val="000000"/>
          <w:sz w:val="32"/>
          <w:szCs w:val="32"/>
        </w:rPr>
        <w:t>2.学院（部）“岗位设置聘任委员会（小组）”由各</w:t>
      </w:r>
      <w:r>
        <w:rPr>
          <w:rFonts w:hint="default" w:ascii="Times New Roman" w:hAnsi="Times New Roman" w:eastAsia="仿宋_GB2312" w:cs="Times New Roman"/>
          <w:color w:val="000000"/>
          <w:sz w:val="32"/>
          <w:szCs w:val="32"/>
        </w:rPr>
        <w:t>单位党政领导、学术委员会主任、分工会主席和教职工代表组成，</w:t>
      </w:r>
      <w:r>
        <w:rPr>
          <w:rFonts w:hint="default" w:ascii="Times New Roman" w:hAnsi="Times New Roman" w:eastAsia="仿宋_GB2312" w:cs="Times New Roman"/>
          <w:color w:val="000000"/>
          <w:sz w:val="32"/>
          <w:szCs w:val="32"/>
          <w:lang w:val="en-US" w:eastAsia="zh-CN"/>
        </w:rPr>
        <w:t>原则上</w:t>
      </w:r>
      <w:r>
        <w:rPr>
          <w:rFonts w:hint="default" w:ascii="Times New Roman" w:hAnsi="Times New Roman" w:eastAsia="仿宋_GB2312" w:cs="Times New Roman"/>
          <w:color w:val="000000"/>
          <w:sz w:val="32"/>
          <w:szCs w:val="32"/>
        </w:rPr>
        <w:t>不少于9人。</w:t>
      </w:r>
      <w:r>
        <w:rPr>
          <w:rFonts w:hint="default" w:ascii="Times New Roman" w:hAnsi="Times New Roman" w:eastAsia="仿宋_GB2312" w:cs="Times New Roman"/>
          <w:bCs/>
          <w:color w:val="000000"/>
          <w:sz w:val="32"/>
          <w:szCs w:val="32"/>
        </w:rPr>
        <w:t>负责制定本单位岗位设置与聘任实施方案，做好本单位岗位的设置、评聘、推荐及考核工作。</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color w:val="000000"/>
          <w:sz w:val="32"/>
          <w:szCs w:val="32"/>
        </w:rPr>
        <w:t>3.学院（部）“岗位聘任工作监督协调小组”由各单位党委（总支）纪检委员、分工会主席和教职工代表组成，按照国家、省有关政策和学校相关文件规定的要求，负责监督聘任过程，调解聘任过程中出现的矛盾，受理教职工的申诉和投诉，并就投诉和申诉进行调查，提出意见。</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color w:val="000000"/>
          <w:sz w:val="30"/>
          <w:szCs w:val="30"/>
        </w:rPr>
      </w:pPr>
      <w:r>
        <w:rPr>
          <w:rFonts w:hint="default" w:ascii="Times New Roman" w:hAnsi="Times New Roman" w:eastAsia="仿宋_GB2312" w:cs="Times New Roman"/>
          <w:color w:val="000000"/>
          <w:sz w:val="32"/>
          <w:szCs w:val="32"/>
        </w:rPr>
        <w:t>4.</w:t>
      </w:r>
      <w:r>
        <w:rPr>
          <w:rFonts w:hint="default" w:ascii="Times New Roman" w:hAnsi="Times New Roman" w:eastAsia="仿宋_GB2312" w:cs="Times New Roman"/>
          <w:bCs/>
          <w:color w:val="000000"/>
          <w:sz w:val="32"/>
          <w:szCs w:val="32"/>
        </w:rPr>
        <w:t>校级直属研究机构</w:t>
      </w:r>
      <w:r>
        <w:rPr>
          <w:rFonts w:hint="default" w:ascii="Times New Roman" w:hAnsi="Times New Roman" w:eastAsia="仿宋_GB2312" w:cs="Times New Roman"/>
          <w:color w:val="000000"/>
          <w:sz w:val="32"/>
          <w:szCs w:val="32"/>
        </w:rPr>
        <w:t>成立由本单位、组织部、人事处、纪检监察室、校工会和业务主管部门等有关部门负责人组成的“岗位设置与聘任小组”，负责管理岗位和专业技术岗位人员评聘、推荐及考核工作。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r>
        <w:rPr>
          <w:b/>
          <w:bCs/>
          <w:color w:val="000000"/>
          <w:sz w:val="32"/>
          <w:szCs w:val="32"/>
        </w:rPr>
        <w:t>十、本细则未尽事项按照学校本轮岗位聘任有关文件执行。</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r>
        <w:rPr>
          <w:b/>
          <w:bCs/>
          <w:color w:val="000000"/>
          <w:sz w:val="32"/>
          <w:szCs w:val="32"/>
        </w:rPr>
        <w:t>十一、本细则由人事处负责解释。</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bookmarkStart w:id="8" w:name="_GoBack"/>
      <w:bookmarkEnd w:id="8"/>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b/>
          <w:bCs/>
          <w:color w:val="000000"/>
          <w:sz w:val="32"/>
          <w:szCs w:val="32"/>
        </w:rPr>
      </w:pPr>
    </w:p>
    <w:p>
      <w:pPr>
        <w:spacing w:line="520" w:lineRule="exact"/>
        <w:jc w:val="center"/>
        <w:rPr>
          <w:rFonts w:hint="eastAsia" w:ascii="仿宋_GB2312"/>
          <w:b/>
          <w:sz w:val="28"/>
          <w:szCs w:val="28"/>
        </w:rPr>
      </w:pPr>
      <w:r>
        <w:rPr>
          <w:rFonts w:hint="eastAsia" w:ascii="仿宋_GB2312"/>
          <w:b/>
          <w:sz w:val="28"/>
          <w:szCs w:val="28"/>
        </w:rPr>
        <w:t>附</w:t>
      </w:r>
      <w:r>
        <w:rPr>
          <w:rFonts w:hint="default" w:ascii="Times New Roman" w:hAnsi="Times New Roman" w:cs="Times New Roman"/>
          <w:b/>
          <w:sz w:val="28"/>
          <w:szCs w:val="28"/>
        </w:rPr>
        <w:t>表1：学</w:t>
      </w:r>
      <w:r>
        <w:rPr>
          <w:rFonts w:hint="eastAsia" w:ascii="仿宋_GB2312"/>
          <w:b/>
          <w:sz w:val="28"/>
          <w:szCs w:val="28"/>
        </w:rPr>
        <w:t>院（部）办公室编制（岗位）表</w:t>
      </w:r>
    </w:p>
    <w:tbl>
      <w:tblPr>
        <w:tblStyle w:val="2"/>
        <w:tblW w:w="0" w:type="auto"/>
        <w:tblInd w:w="0" w:type="dxa"/>
        <w:tblLayout w:type="fixed"/>
        <w:tblCellMar>
          <w:top w:w="0" w:type="dxa"/>
          <w:left w:w="0" w:type="dxa"/>
          <w:bottom w:w="0" w:type="dxa"/>
          <w:right w:w="0" w:type="dxa"/>
        </w:tblCellMar>
      </w:tblPr>
      <w:tblGrid>
        <w:gridCol w:w="526"/>
        <w:gridCol w:w="2424"/>
        <w:gridCol w:w="1275"/>
        <w:gridCol w:w="1215"/>
        <w:gridCol w:w="1560"/>
        <w:gridCol w:w="1500"/>
      </w:tblGrid>
      <w:tr>
        <w:tblPrEx>
          <w:tblCellMar>
            <w:top w:w="0" w:type="dxa"/>
            <w:left w:w="0" w:type="dxa"/>
            <w:bottom w:w="0" w:type="dxa"/>
            <w:right w:w="0" w:type="dxa"/>
          </w:tblCellMar>
        </w:tblPrEx>
        <w:trPr>
          <w:trHeight w:val="400" w:hRule="atLeast"/>
        </w:trPr>
        <w:tc>
          <w:tcPr>
            <w:tcW w:w="52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序号</w:t>
            </w:r>
          </w:p>
        </w:tc>
        <w:tc>
          <w:tcPr>
            <w:tcW w:w="242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学院</w:t>
            </w:r>
          </w:p>
        </w:tc>
        <w:tc>
          <w:tcPr>
            <w:tcW w:w="4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管理岗</w:t>
            </w:r>
          </w:p>
        </w:tc>
        <w:tc>
          <w:tcPr>
            <w:tcW w:w="150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snapToGrid w:val="0"/>
              <w:ind w:left="-55" w:right="-163"/>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党务工作</w:t>
            </w:r>
          </w:p>
          <w:p>
            <w:pPr>
              <w:snapToGrid w:val="0"/>
              <w:ind w:left="-55" w:right="-163"/>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岗位数</w:t>
            </w:r>
          </w:p>
        </w:tc>
      </w:tr>
      <w:tr>
        <w:tblPrEx>
          <w:tblCellMar>
            <w:top w:w="0" w:type="dxa"/>
            <w:left w:w="0" w:type="dxa"/>
            <w:bottom w:w="0" w:type="dxa"/>
            <w:right w:w="0" w:type="dxa"/>
          </w:tblCellMar>
        </w:tblPrEx>
        <w:trPr>
          <w:trHeight w:val="418" w:hRule="atLeast"/>
        </w:trPr>
        <w:tc>
          <w:tcPr>
            <w:tcW w:w="52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p>
        </w:tc>
        <w:tc>
          <w:tcPr>
            <w:tcW w:w="24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p>
        </w:tc>
        <w:tc>
          <w:tcPr>
            <w:tcW w:w="12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岗位总数</w:t>
            </w:r>
          </w:p>
        </w:tc>
        <w:tc>
          <w:tcPr>
            <w:tcW w:w="12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可设主管</w:t>
            </w:r>
          </w:p>
        </w:tc>
        <w:tc>
          <w:tcPr>
            <w:tcW w:w="15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可设副主管</w:t>
            </w:r>
          </w:p>
        </w:tc>
        <w:tc>
          <w:tcPr>
            <w:tcW w:w="150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4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化学工程学院</w:t>
            </w:r>
          </w:p>
        </w:tc>
        <w:tc>
          <w:tcPr>
            <w:tcW w:w="12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12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生物工程学院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药学院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环境学院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24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材料科学与工程学院</w:t>
            </w:r>
          </w:p>
        </w:tc>
        <w:tc>
          <w:tcPr>
            <w:tcW w:w="12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24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食品科学与工程学院</w:t>
            </w:r>
          </w:p>
        </w:tc>
        <w:tc>
          <w:tcPr>
            <w:tcW w:w="12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机械工程学院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信息工程学院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9</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计算机科学与技术</w:t>
            </w:r>
          </w:p>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学院（软件学院）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10</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土木工程学院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理学院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管理学院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13</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经济学院</w:t>
            </w:r>
          </w:p>
        </w:tc>
        <w:tc>
          <w:tcPr>
            <w:tcW w:w="12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14</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snapToGrid w:val="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教育科学与技术学院（职业技术教育学院）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15</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外国语学院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16</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人文学院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17</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设计与建筑学院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18</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法学院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19</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公共管理学院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500" w:type="dxa"/>
            <w:vMerge w:val="restart"/>
            <w:tcBorders>
              <w:top w:val="single" w:color="000000" w:sz="4" w:space="0"/>
              <w:left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马克思主义学院</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500" w:type="dxa"/>
            <w:vMerge w:val="continue"/>
            <w:tcBorders>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p>
        </w:tc>
      </w:tr>
      <w:tr>
        <w:tblPrEx>
          <w:tblCellMar>
            <w:top w:w="0" w:type="dxa"/>
            <w:left w:w="0" w:type="dxa"/>
            <w:bottom w:w="0" w:type="dxa"/>
            <w:right w:w="0" w:type="dxa"/>
          </w:tblCellMar>
        </w:tblPrEx>
        <w:trPr>
          <w:trHeight w:val="454" w:hRule="atLeast"/>
        </w:trPr>
        <w:tc>
          <w:tcPr>
            <w:tcW w:w="52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21</w:t>
            </w:r>
          </w:p>
        </w:tc>
        <w:tc>
          <w:tcPr>
            <w:tcW w:w="2424"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体育军训部</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r>
      <w:tr>
        <w:tblPrEx>
          <w:tblCellMar>
            <w:top w:w="0" w:type="dxa"/>
            <w:left w:w="0" w:type="dxa"/>
            <w:bottom w:w="0" w:type="dxa"/>
            <w:right w:w="0" w:type="dxa"/>
          </w:tblCellMar>
        </w:tblPrEx>
        <w:trPr>
          <w:trHeight w:val="454" w:hRule="atLeast"/>
        </w:trPr>
        <w:tc>
          <w:tcPr>
            <w:tcW w:w="2950" w:type="dxa"/>
            <w:gridSpan w:val="2"/>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合计</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26</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19+19</w:t>
            </w:r>
          </w:p>
        </w:tc>
      </w:tr>
    </w:tbl>
    <w:p>
      <w:pPr>
        <w:widowControl/>
        <w:spacing w:line="520" w:lineRule="exact"/>
        <w:ind w:firstLine="560" w:firstLineChars="200"/>
        <w:jc w:val="left"/>
        <w:rPr>
          <w:rFonts w:hint="default" w:ascii="Times New Roman" w:hAnsi="Times New Roman" w:cs="Times New Roman"/>
          <w:sz w:val="28"/>
          <w:szCs w:val="28"/>
        </w:rPr>
      </w:pPr>
      <w:r>
        <w:rPr>
          <w:rFonts w:hint="default" w:ascii="Times New Roman" w:hAnsi="Times New Roman" w:cs="Times New Roman"/>
          <w:sz w:val="28"/>
          <w:szCs w:val="28"/>
        </w:rPr>
        <w:t>注：在19个二级学院党委实行“三员两岗”，设置1+1党务工作岗（包含组织员、宣传员、纪检员，之江学院自行设置），1为专职党务</w:t>
      </w:r>
      <w:r>
        <w:rPr>
          <w:rFonts w:hint="default" w:ascii="Times New Roman" w:hAnsi="Times New Roman" w:cs="Times New Roman"/>
          <w:sz w:val="28"/>
          <w:szCs w:val="28"/>
          <w:lang w:val="en-US" w:eastAsia="zh-CN"/>
        </w:rPr>
        <w:t>岗位</w:t>
      </w:r>
      <w:r>
        <w:rPr>
          <w:rFonts w:hint="eastAsia" w:ascii="Times New Roman" w:hAnsi="Times New Roman" w:cs="Times New Roman"/>
          <w:sz w:val="28"/>
          <w:szCs w:val="28"/>
          <w:lang w:val="en-US" w:eastAsia="zh-CN"/>
        </w:rPr>
        <w:t>；</w:t>
      </w:r>
      <w:r>
        <w:rPr>
          <w:rFonts w:hint="default" w:ascii="Times New Roman" w:hAnsi="Times New Roman" w:cs="Times New Roman"/>
          <w:sz w:val="28"/>
          <w:szCs w:val="28"/>
        </w:rPr>
        <w:t>+1为党务工作职能，可结合辅导员队伍建设统筹考虑工作分工。其余二级党委（党总支）在现有岗位中落实“三员”设置，统筹明确党务工作职能。</w:t>
      </w:r>
    </w:p>
    <w:p>
      <w:pPr>
        <w:widowControl/>
        <w:spacing w:line="520" w:lineRule="exact"/>
        <w:ind w:firstLine="560" w:firstLineChars="200"/>
        <w:jc w:val="left"/>
        <w:rPr>
          <w:rFonts w:hint="default" w:ascii="Times New Roman" w:hAnsi="Times New Roman" w:cs="Times New Roman"/>
          <w:sz w:val="28"/>
          <w:szCs w:val="28"/>
        </w:rPr>
      </w:pPr>
    </w:p>
    <w:p>
      <w:pPr>
        <w:widowControl/>
        <w:spacing w:line="520" w:lineRule="exact"/>
        <w:jc w:val="left"/>
        <w:rPr>
          <w:rFonts w:hint="default" w:ascii="Times New Roman" w:hAnsi="Times New Roman" w:cs="Times New Roman"/>
          <w:sz w:val="28"/>
          <w:szCs w:val="28"/>
        </w:rPr>
      </w:pPr>
    </w:p>
    <w:p>
      <w:pPr>
        <w:spacing w:before="156" w:beforeLines="50" w:line="520" w:lineRule="exact"/>
        <w:jc w:val="center"/>
        <w:rPr>
          <w:rFonts w:hint="eastAsia" w:ascii="仿宋_GB2312"/>
          <w:b/>
          <w:sz w:val="28"/>
          <w:szCs w:val="28"/>
        </w:rPr>
      </w:pPr>
      <w:r>
        <w:rPr>
          <w:rFonts w:hint="eastAsia" w:ascii="仿宋_GB2312"/>
          <w:b/>
          <w:sz w:val="28"/>
          <w:szCs w:val="28"/>
        </w:rPr>
        <w:t>附</w:t>
      </w:r>
      <w:r>
        <w:rPr>
          <w:rFonts w:hint="default" w:ascii="Times New Roman" w:hAnsi="Times New Roman" w:cs="Times New Roman"/>
          <w:b/>
          <w:sz w:val="28"/>
          <w:szCs w:val="28"/>
        </w:rPr>
        <w:t>表2</w:t>
      </w:r>
      <w:r>
        <w:rPr>
          <w:rFonts w:hint="eastAsia" w:ascii="仿宋_GB2312"/>
          <w:b/>
          <w:sz w:val="28"/>
          <w:szCs w:val="28"/>
        </w:rPr>
        <w:t>：校级直属研究机构编制（岗位）表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8"/>
        <w:gridCol w:w="3182"/>
        <w:gridCol w:w="967"/>
        <w:gridCol w:w="1200"/>
        <w:gridCol w:w="1343"/>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8"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序号</w:t>
            </w:r>
          </w:p>
        </w:tc>
        <w:tc>
          <w:tcPr>
            <w:tcW w:w="3182"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单位名称</w:t>
            </w:r>
          </w:p>
        </w:tc>
        <w:tc>
          <w:tcPr>
            <w:tcW w:w="967"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管理岗</w:t>
            </w:r>
          </w:p>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总数</w:t>
            </w:r>
          </w:p>
        </w:tc>
        <w:tc>
          <w:tcPr>
            <w:tcW w:w="1200"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其中：</w:t>
            </w:r>
          </w:p>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可设主管</w:t>
            </w:r>
          </w:p>
        </w:tc>
        <w:tc>
          <w:tcPr>
            <w:tcW w:w="1343"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其中：</w:t>
            </w:r>
          </w:p>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可设副主管</w:t>
            </w:r>
          </w:p>
        </w:tc>
        <w:tc>
          <w:tcPr>
            <w:tcW w:w="1125"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专技岗</w:t>
            </w:r>
          </w:p>
          <w:p>
            <w:pPr>
              <w:adjustRightInd w:val="0"/>
              <w:snapToGrid w:val="0"/>
              <w:ind w:left="-55" w:leftChars="-51" w:right="-163" w:rightChars="-51" w:hanging="108" w:hangingChars="45"/>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（工勤岗）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8"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3182"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2011长三角绿色制药协同</w:t>
            </w:r>
          </w:p>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创新中心</w:t>
            </w:r>
          </w:p>
        </w:tc>
        <w:tc>
          <w:tcPr>
            <w:tcW w:w="967"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00"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343"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125" w:type="dxa"/>
            <w:vMerge w:val="restart"/>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按</w:t>
            </w:r>
          </w:p>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需</w:t>
            </w:r>
          </w:p>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核</w:t>
            </w:r>
          </w:p>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岗</w:t>
            </w:r>
          </w:p>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8"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3182"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全球浙商发展研究院</w:t>
            </w:r>
          </w:p>
        </w:tc>
        <w:tc>
          <w:tcPr>
            <w:tcW w:w="967"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200"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343"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125" w:type="dxa"/>
            <w:vMerge w:val="continue"/>
            <w:noWrap w:val="0"/>
            <w:vAlign w:val="top"/>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8"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3182"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中国中小企业研究院（新兴</w:t>
            </w:r>
          </w:p>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市场国家工业化研究中心）</w:t>
            </w:r>
          </w:p>
        </w:tc>
        <w:tc>
          <w:tcPr>
            <w:tcW w:w="967"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200"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343"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125" w:type="dxa"/>
            <w:vMerge w:val="continue"/>
            <w:noWrap w:val="0"/>
            <w:vAlign w:val="top"/>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8"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3182"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工业设计研究院</w:t>
            </w:r>
          </w:p>
        </w:tc>
        <w:tc>
          <w:tcPr>
            <w:tcW w:w="967"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200"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343"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125" w:type="dxa"/>
            <w:vMerge w:val="continue"/>
            <w:noWrap w:val="0"/>
            <w:vAlign w:val="top"/>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8"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3182"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膜分离与水科学技术中心</w:t>
            </w:r>
          </w:p>
        </w:tc>
        <w:tc>
          <w:tcPr>
            <w:tcW w:w="967"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200"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343"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125" w:type="dxa"/>
            <w:vMerge w:val="continue"/>
            <w:noWrap w:val="0"/>
            <w:vAlign w:val="top"/>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8"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3182"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激光先进制造研究院</w:t>
            </w:r>
          </w:p>
        </w:tc>
        <w:tc>
          <w:tcPr>
            <w:tcW w:w="967"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1</w:t>
            </w:r>
          </w:p>
        </w:tc>
        <w:tc>
          <w:tcPr>
            <w:tcW w:w="1200"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1</w:t>
            </w:r>
          </w:p>
        </w:tc>
        <w:tc>
          <w:tcPr>
            <w:tcW w:w="1343"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125" w:type="dxa"/>
            <w:vMerge w:val="continue"/>
            <w:noWrap w:val="0"/>
            <w:vAlign w:val="top"/>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8"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3182"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网络空间安全研究院</w:t>
            </w:r>
          </w:p>
        </w:tc>
        <w:tc>
          <w:tcPr>
            <w:tcW w:w="967"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200"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343"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125" w:type="dxa"/>
            <w:vMerge w:val="continue"/>
            <w:noWrap w:val="0"/>
            <w:vAlign w:val="top"/>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8"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3182"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中国住房与房地产研究院</w:t>
            </w:r>
          </w:p>
        </w:tc>
        <w:tc>
          <w:tcPr>
            <w:tcW w:w="967"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200"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343"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125" w:type="dxa"/>
            <w:vMerge w:val="continue"/>
            <w:noWrap w:val="0"/>
            <w:vAlign w:val="top"/>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770" w:type="dxa"/>
            <w:gridSpan w:val="2"/>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合计</w:t>
            </w:r>
          </w:p>
        </w:tc>
        <w:tc>
          <w:tcPr>
            <w:tcW w:w="967"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1</w:t>
            </w:r>
            <w:r>
              <w:rPr>
                <w:rFonts w:hint="default" w:ascii="Times New Roman" w:hAnsi="Times New Roman" w:eastAsia="仿宋_GB2312" w:cs="Times New Roman"/>
                <w:sz w:val="24"/>
                <w:szCs w:val="24"/>
                <w:lang w:val="en-US" w:eastAsia="zh-CN"/>
              </w:rPr>
              <w:t>5</w:t>
            </w:r>
          </w:p>
        </w:tc>
        <w:tc>
          <w:tcPr>
            <w:tcW w:w="1200"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1</w:t>
            </w:r>
            <w:r>
              <w:rPr>
                <w:rFonts w:hint="default" w:ascii="Times New Roman" w:hAnsi="Times New Roman" w:eastAsia="仿宋_GB2312" w:cs="Times New Roman"/>
                <w:sz w:val="24"/>
                <w:szCs w:val="24"/>
                <w:lang w:val="en-US" w:eastAsia="zh-CN"/>
              </w:rPr>
              <w:t>2</w:t>
            </w:r>
          </w:p>
        </w:tc>
        <w:tc>
          <w:tcPr>
            <w:tcW w:w="1343" w:type="dxa"/>
            <w:noWrap w:val="0"/>
            <w:vAlign w:val="center"/>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125" w:type="dxa"/>
            <w:vMerge w:val="continue"/>
            <w:noWrap w:val="0"/>
            <w:vAlign w:val="top"/>
          </w:tcPr>
          <w:p>
            <w:pPr>
              <w:adjustRightInd w:val="0"/>
              <w:snapToGrid w:val="0"/>
              <w:ind w:left="-55" w:leftChars="-51" w:right="-163" w:rightChars="-51" w:hanging="108" w:hangingChars="45"/>
              <w:jc w:val="center"/>
              <w:rPr>
                <w:rFonts w:hint="default" w:ascii="Times New Roman" w:hAnsi="Times New Roman" w:eastAsia="仿宋_GB2312" w:cs="Times New Roman"/>
                <w:sz w:val="24"/>
                <w:szCs w:val="24"/>
              </w:rPr>
            </w:pPr>
          </w:p>
        </w:tc>
      </w:tr>
    </w:tbl>
    <w:p>
      <w:pPr>
        <w:adjustRightInd w:val="0"/>
        <w:snapToGrid w:val="0"/>
        <w:spacing w:before="156" w:beforeLines="50"/>
        <w:ind w:left="-55" w:leftChars="-51" w:right="-163" w:rightChars="-51" w:hanging="108" w:hangingChars="45"/>
        <w:jc w:val="center"/>
        <w:rPr>
          <w:rFonts w:hint="eastAsia" w:ascii="仿宋" w:hAnsi="仿宋" w:eastAsia="仿宋"/>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23A11"/>
    <w:multiLevelType w:val="singleLevel"/>
    <w:tmpl w:val="03723A1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71CD"/>
    <w:rsid w:val="01AA29AB"/>
    <w:rsid w:val="01E40C52"/>
    <w:rsid w:val="07EB355C"/>
    <w:rsid w:val="10CB4D32"/>
    <w:rsid w:val="16672A90"/>
    <w:rsid w:val="1E3F2513"/>
    <w:rsid w:val="260C47E1"/>
    <w:rsid w:val="2C9A77D6"/>
    <w:rsid w:val="30700FDD"/>
    <w:rsid w:val="32106311"/>
    <w:rsid w:val="34D71C74"/>
    <w:rsid w:val="358201EF"/>
    <w:rsid w:val="43B34231"/>
    <w:rsid w:val="456710F3"/>
    <w:rsid w:val="46AE73F8"/>
    <w:rsid w:val="4F447736"/>
    <w:rsid w:val="555611C8"/>
    <w:rsid w:val="56867996"/>
    <w:rsid w:val="57C73234"/>
    <w:rsid w:val="598F6234"/>
    <w:rsid w:val="5A904A50"/>
    <w:rsid w:val="5D0B215C"/>
    <w:rsid w:val="60E901AF"/>
    <w:rsid w:val="61321964"/>
    <w:rsid w:val="62F71B69"/>
    <w:rsid w:val="64E51199"/>
    <w:rsid w:val="68B50A0A"/>
    <w:rsid w:val="6C4C66CA"/>
    <w:rsid w:val="6C625D2B"/>
    <w:rsid w:val="6EC05FB0"/>
    <w:rsid w:val="6F816E05"/>
    <w:rsid w:val="78FE47A5"/>
    <w:rsid w:val="7F787F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unhideWhenUsed/>
    <w:qFormat/>
    <w:uiPriority w:val="99"/>
    <w:rPr>
      <w:color w:val="0000FF"/>
      <w:u w:val="single"/>
    </w:rPr>
  </w:style>
  <w:style w:type="character" w:styleId="5">
    <w:name w:val="annotation reference"/>
    <w:unhideWhenUsed/>
    <w:qFormat/>
    <w:uiPriority w:val="0"/>
    <w:rPr>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2020-06-09T01:38:00Z</dcterms:created>
  <dc:creator>LENOVO</dc:creator>
  <cp:lastModifiedBy>肚皮</cp:lastModifiedBy>
  <dcterms:modified xsi:type="dcterms:W3CDTF">2020-06-12T04:18:36Z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