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Times New Roman"/>
          <w:kern w:val="2"/>
          <w:sz w:val="44"/>
          <w:szCs w:val="44"/>
          <w:lang w:val="en-US" w:eastAsia="zh-CN" w:bidi="ar-SA"/>
        </w:rPr>
        <w:t>浙江工业大学社会责任通识</w:t>
      </w:r>
      <w:r>
        <w:rPr>
          <w:rFonts w:hint="eastAsia" w:ascii="方正小标宋简体" w:hAnsi="方正小标宋简体" w:eastAsia="方正小标宋简体" w:cs="Times New Roman"/>
          <w:kern w:val="2"/>
          <w:sz w:val="44"/>
          <w:szCs w:val="44"/>
          <w:lang w:val="en-US" w:eastAsia="zh-CN" w:bidi="ar-SA"/>
        </w:rPr>
        <w:t>教育分中心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Times New Roman"/>
          <w:kern w:val="2"/>
          <w:sz w:val="44"/>
          <w:szCs w:val="44"/>
          <w:lang w:val="en-US" w:eastAsia="zh-CN" w:bidi="ar-SA"/>
        </w:rPr>
        <w:t>本科</w:t>
      </w:r>
      <w:r>
        <w:rPr>
          <w:rFonts w:hint="eastAsia" w:ascii="方正小标宋简体" w:hAnsi="方正小标宋简体" w:eastAsia="方正小标宋简体" w:cs="Times New Roman"/>
          <w:kern w:val="2"/>
          <w:sz w:val="44"/>
          <w:szCs w:val="44"/>
          <w:lang w:val="en-US" w:eastAsia="zh-CN" w:bidi="ar-SA"/>
        </w:rPr>
        <w:t>“优课优酬”</w:t>
      </w:r>
      <w:r>
        <w:rPr>
          <w:rFonts w:hint="eastAsia" w:ascii="方正小标宋简体" w:hAnsi="方正小标宋简体" w:eastAsia="方正小标宋简体" w:cs="Times New Roman"/>
          <w:kern w:val="2"/>
          <w:sz w:val="44"/>
          <w:szCs w:val="44"/>
          <w:lang w:val="en-US" w:eastAsia="zh-CN" w:bidi="ar-SA"/>
        </w:rPr>
        <w:t>奖励实施细则</w:t>
      </w:r>
    </w:p>
    <w:p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为了进一步调动教师从事社会责任通识教育工作的积极性，引导教师探索教学规律，提升课程与课堂教学质量，更好地落实《浙江工业大学通识选修课程提质增效计划》，根据《浙江工业大学本科教学“优课优酬”奖励实施办法(试行)》等文件精神，结合社会责任通识教育分中心实际，特制定本办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社会责任通识课程“优课优酬”奖励面向承担全校本科生通识课程教学任务的一线教师。主讲教师需满足以下条件：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6" w:leftChars="203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1.主讲教师师德师风过硬，教学效果优良，“课程思政”工作和教书育人成效显著。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6" w:leftChars="203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2.主讲教师积极开展课程建设，所申报课程教学文档完备。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6" w:leftChars="203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3.主讲教师课堂教学效果优良，申报课程近3年内未出现教学事故。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申报课程应充分发挥示范带动作用，秉承“课程承载思政”和“思政寓于课程”的理念，充分挖掘课程育人要素，将立德树人、思想引领融入教学全过程。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社会责任通识教育分中心按照学校有关规定确定当学期“优课优酬”总名额，一般不超过社会责任模块总通识选修课程教学班数的20%。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响应学校课程体系建设需要而开设的课程、纳入学校品牌通识课建设计划的课程、跨学院协作开课的课程以及在莫干山校区开课的优秀课程，同等条件下优先考虑。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“优课优酬”奖励采取个人申报和分中心评审相结合的办法进行遴选，每学期遴选一次。遴选程序如下：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自主申报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教师个人或教学团队根据某一门课程教学基本情况填写申报表，将申报材料与课程基本教学文档一并提交社会责任通识教育分中心。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 xml:space="preserve">分中心初审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分中心对照申报条件进行初审，通过初审的课程进入下一环节。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 xml:space="preserve">专家评审 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分中心组织专家对申报课程进行评审，专家评审主要针对教学文档评价、课堂效果评价等方面。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综合排序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 xml:space="preserve"> 按照学生评价、教师自评、教学文档评价、课堂效果评价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含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课程思政成效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等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部分计算综合得分（附件1），其中教学文档评价、课堂效果评价环节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含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课程思政成效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主要依据专家评审结果。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具体计算公式如下：学生评价×30%+教师自评（附件2）×10%+教学文档评价（附件3）×30%+课堂效果评价×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依据综合得分排名，按本学期开课门次数前20%的比例排序推荐，公示后上报学校。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hanging="857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奖励办法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对获得“优课优酬”的教师，相关奖励将按照学校文件执行。教师所在学院在专业技术职务评聘、申报教学建设与改革项目等方面予以优先考虑，并作为教师所在学院教学工作业绩考核和专业评估的重要参考。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426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本细则自颁布之日起实施，由社会责任通识教育分中心负责解释。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left"/>
        <w:rPr>
          <w:rFonts w:ascii="宋体" w:hAnsi="宋体"/>
          <w:b/>
          <w:bCs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附件1：                              “优课优酬”综合评价细则  </w:t>
      </w:r>
    </w:p>
    <w:tbl>
      <w:tblPr>
        <w:tblStyle w:val="6"/>
        <w:tblW w:w="13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992"/>
        <w:gridCol w:w="1276"/>
        <w:gridCol w:w="9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评价构成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159" w:beforeLines="50" w:beforeAutospacing="0" w:after="159" w:afterLines="50" w:afterAutospacing="0" w:line="240" w:lineRule="atLeast"/>
              <w:jc w:val="center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</w:rPr>
              <w:t>权重（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>%</w:t>
            </w:r>
            <w:r>
              <w:rPr>
                <w:rFonts w:hint="eastAsia" w:ascii="Times New Roman" w:hAnsi="Times New Roman" w:cs="Times New Roman"/>
                <w:kern w:val="2"/>
                <w:sz w:val="18"/>
                <w:szCs w:val="18"/>
              </w:rPr>
              <w:t>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评价主体</w:t>
            </w:r>
          </w:p>
        </w:tc>
        <w:tc>
          <w:tcPr>
            <w:tcW w:w="9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评价细则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学生评价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30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学生</w:t>
            </w:r>
          </w:p>
        </w:tc>
        <w:tc>
          <w:tcPr>
            <w:tcW w:w="9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以教务处下发《学生对课程学习满意度评价指标》结果数据，按照“完全满意占比”排序，满分为30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分，排序第一得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30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分，最后一名得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0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分，中间名次按比例计算得分，计算公式：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(1-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（课程排名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-1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）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/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（总课程数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-1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）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)*30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教师自评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教师个人</w:t>
            </w:r>
          </w:p>
        </w:tc>
        <w:tc>
          <w:tcPr>
            <w:tcW w:w="9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教师自评满分为10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分。主要考评课堂教学文档齐备，课堂教学目标明确、教学内容完整，教学方法得当，教学状态师生互动效果良好等方面。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教学文档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评价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30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专家评价</w:t>
            </w:r>
          </w:p>
        </w:tc>
        <w:tc>
          <w:tcPr>
            <w:tcW w:w="9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教学文档评价满分为30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分。主要以教学文档（包含教案、教学大纲、授课计划）等方面为考评条件，酌情打分。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课堂效果评价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/>
              </w:rPr>
              <w:t>含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</w:rPr>
              <w:t>课程思政成效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专家评价</w:t>
            </w:r>
          </w:p>
        </w:tc>
        <w:tc>
          <w:tcPr>
            <w:tcW w:w="9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专家评价满分为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>0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分。主要以听课、期中教学检查反馈等方面为考评条件</w:t>
            </w:r>
            <w:r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/>
              </w:rPr>
              <w:t>附件4）</w:t>
            </w:r>
            <w:r>
              <w:rPr>
                <w:rFonts w:hint="eastAsia" w:cs="Times New Roman"/>
                <w:kern w:val="2"/>
                <w:sz w:val="21"/>
                <w:szCs w:val="21"/>
              </w:rPr>
              <w:t>。酌情打分。</w:t>
            </w:r>
          </w:p>
        </w:tc>
      </w:tr>
    </w:tbl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319" w:charSpace="0"/>
        </w:sect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附件2：</w:t>
      </w:r>
    </w:p>
    <w:p>
      <w:pPr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教师自评表</w:t>
      </w:r>
    </w:p>
    <w:p>
      <w:pPr>
        <w:spacing w:line="360" w:lineRule="auto"/>
        <w:jc w:val="center"/>
        <w:rPr>
          <w:rFonts w:ascii="仿宋" w:hAnsi="仿宋" w:eastAsia="仿宋"/>
          <w:sz w:val="13"/>
          <w:szCs w:val="13"/>
        </w:rPr>
      </w:pPr>
    </w:p>
    <w:p>
      <w:pPr>
        <w:spacing w:line="360" w:lineRule="auto"/>
        <w:rPr>
          <w:rFonts w:ascii="仿宋" w:hAnsi="仿宋" w:eastAsia="仿宋"/>
          <w:sz w:val="13"/>
          <w:szCs w:val="13"/>
        </w:rPr>
      </w:pPr>
      <w:r>
        <w:rPr>
          <w:rFonts w:hint="eastAsia" w:ascii="仿宋" w:hAnsi="仿宋" w:eastAsia="仿宋"/>
          <w:sz w:val="18"/>
          <w:szCs w:val="18"/>
        </w:rPr>
        <w:t>课程名称                      主讲教师                             所属学院</w:t>
      </w:r>
    </w:p>
    <w:tbl>
      <w:tblPr>
        <w:tblStyle w:val="6"/>
        <w:tblW w:w="4299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4093"/>
        <w:gridCol w:w="964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评价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指标</w:t>
            </w:r>
          </w:p>
        </w:tc>
        <w:tc>
          <w:tcPr>
            <w:tcW w:w="2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评价要素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权重分值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实际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教师师德</w:t>
            </w:r>
          </w:p>
        </w:tc>
        <w:tc>
          <w:tcPr>
            <w:tcW w:w="2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师德高尚，教书育人成效显著近三年内无教学事故及学术不端行为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课程档案</w:t>
            </w:r>
          </w:p>
        </w:tc>
        <w:tc>
          <w:tcPr>
            <w:tcW w:w="2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所讲授课程教学文档完备、操作规范、认真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课堂教学</w:t>
            </w:r>
          </w:p>
        </w:tc>
        <w:tc>
          <w:tcPr>
            <w:tcW w:w="2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内容系统、科学，尤其注意吸收最新理论成果，能突出重点，突破难点，教学方法灵活多样，注重培养学生的创新能力和动手实践能力，注重指导学生进行自主性学习，课堂教学效果优良。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教学资源</w:t>
            </w:r>
          </w:p>
        </w:tc>
        <w:tc>
          <w:tcPr>
            <w:tcW w:w="2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积极拓展政府、行业或社会组织方面的资源，为开展课程教学提供支撑，积极尝试校内校外、课内课外相结合的教学模式。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团队协作</w:t>
            </w:r>
          </w:p>
        </w:tc>
        <w:tc>
          <w:tcPr>
            <w:tcW w:w="2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积极参加课程建设等学院教学活动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总分</w:t>
            </w:r>
          </w:p>
        </w:tc>
        <w:tc>
          <w:tcPr>
            <w:tcW w:w="2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100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</w:tbl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附件3：</w:t>
      </w:r>
    </w:p>
    <w:p>
      <w:pPr>
        <w:spacing w:line="360" w:lineRule="auto"/>
        <w:ind w:firstLine="711" w:firstLineChars="253"/>
        <w:jc w:val="center"/>
        <w:rPr>
          <w:rFonts w:ascii="仿宋" w:hAnsi="仿宋" w:eastAsia="仿宋"/>
          <w:sz w:val="13"/>
          <w:szCs w:val="13"/>
        </w:rPr>
      </w:pPr>
      <w:r>
        <w:rPr>
          <w:rFonts w:hint="eastAsia" w:ascii="仿宋" w:hAnsi="仿宋" w:eastAsia="仿宋"/>
          <w:b/>
          <w:sz w:val="28"/>
          <w:szCs w:val="28"/>
        </w:rPr>
        <w:t>教学文档评价表</w:t>
      </w:r>
    </w:p>
    <w:p>
      <w:pPr>
        <w:spacing w:line="360" w:lineRule="auto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课程名称                             主讲教师                      所属学院</w:t>
      </w:r>
    </w:p>
    <w:tbl>
      <w:tblPr>
        <w:tblStyle w:val="6"/>
        <w:tblW w:w="4809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4420"/>
        <w:gridCol w:w="1561"/>
        <w:gridCol w:w="649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评价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指标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评价要素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评价标准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权重分值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实际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文档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完备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1、教案或课件、教学大纲、授课计划、作业和试卷及其批改情况、质量分析表等教学档案完备，上交及时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缺一样扣2分，上交不及时扣2分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5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教学大纲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1、教学目标明确。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2、各章节体现知识、能力、素质结合。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每项各5分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10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教学内容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设计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(教案或课件)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1、内容系统、科学，注意学科知识的整合，尤其注意吸收最新理论成果，无知识性错误。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2、能突出重点，突破难点(体现在具体方法由浅入深等方面)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3、教学方法灵活多样，如采用讨论式、探究式、研究性组织教学等。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4、注重培养学生的创新能力和动手实践能力，注重指导学生进行自主性学习。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每项各10分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40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授课计划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1、安排科学，与教学大纲有效衔接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2、教学内容时间安排与校历衔接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出现一项不衔接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扣3分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5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作业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批改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1、量度适中，要求明确，有一定训练强度。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2、作业有批改反馈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无批改最高11分，批改认真可满分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15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考核评价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1、课程考核形式与教学大纲相对应。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2、平时考核记录清晰。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3、试卷批改随意性小，宽严得当。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4、成绩分布合理，有区分度。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每项5分，累计加总；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质量分析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1、分析认真，总结得当。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2、针对问题与不足提出改进措施。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总结简单最高3分；数据错误扣5分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5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特色补充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1、实践教学开展情况、校外教学资源拓展等</w:t>
            </w:r>
          </w:p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2、教学设计新颖、有创意。</w:t>
            </w: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此为附加分，有则加分，无则不计分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5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总分</w:t>
            </w:r>
          </w:p>
        </w:tc>
        <w:tc>
          <w:tcPr>
            <w:tcW w:w="2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100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</w:tbl>
    <w:p>
      <w:pPr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sz w:val="28"/>
          <w:szCs w:val="28"/>
        </w:rPr>
        <w:t>：</w:t>
      </w:r>
    </w:p>
    <w:p>
      <w:pPr>
        <w:spacing w:line="360" w:lineRule="auto"/>
        <w:ind w:firstLine="2811" w:firstLineChars="1000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课堂效果评价</w:t>
      </w:r>
      <w:r>
        <w:rPr>
          <w:rFonts w:hint="eastAsia" w:ascii="仿宋" w:hAnsi="仿宋" w:eastAsia="仿宋"/>
          <w:b/>
          <w:sz w:val="28"/>
          <w:szCs w:val="28"/>
        </w:rPr>
        <w:t>表</w:t>
      </w:r>
    </w:p>
    <w:p>
      <w:pPr>
        <w:spacing w:line="360" w:lineRule="auto"/>
        <w:jc w:val="center"/>
        <w:rPr>
          <w:rFonts w:ascii="仿宋" w:hAnsi="仿宋" w:eastAsia="仿宋"/>
          <w:sz w:val="13"/>
          <w:szCs w:val="13"/>
        </w:rPr>
      </w:pPr>
    </w:p>
    <w:p>
      <w:pPr>
        <w:spacing w:line="360" w:lineRule="auto"/>
        <w:rPr>
          <w:rFonts w:ascii="仿宋" w:hAnsi="仿宋" w:eastAsia="仿宋"/>
          <w:sz w:val="13"/>
          <w:szCs w:val="13"/>
        </w:rPr>
      </w:pPr>
      <w:r>
        <w:rPr>
          <w:rFonts w:hint="eastAsia" w:ascii="仿宋" w:hAnsi="仿宋" w:eastAsia="仿宋"/>
          <w:sz w:val="18"/>
          <w:szCs w:val="18"/>
        </w:rPr>
        <w:t>课程名称                      主讲教师                             所属学院</w:t>
      </w:r>
    </w:p>
    <w:tbl>
      <w:tblPr>
        <w:tblStyle w:val="6"/>
        <w:tblW w:w="429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4092"/>
        <w:gridCol w:w="964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评价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指标</w:t>
            </w:r>
          </w:p>
        </w:tc>
        <w:tc>
          <w:tcPr>
            <w:tcW w:w="2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评价要素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权重分值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实际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ind w:firstLine="180" w:firstLineChars="100"/>
              <w:jc w:val="both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课堂秩序</w:t>
            </w:r>
          </w:p>
        </w:tc>
        <w:tc>
          <w:tcPr>
            <w:tcW w:w="2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出勤率、迟到早退情况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学生投入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程度</w:t>
            </w:r>
          </w:p>
        </w:tc>
        <w:tc>
          <w:tcPr>
            <w:tcW w:w="2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听课抬头率、教学互动参与情况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教师授课</w:t>
            </w:r>
          </w:p>
          <w:p>
            <w:pPr>
              <w:widowControl/>
              <w:wordWrap w:val="0"/>
              <w:spacing w:line="380" w:lineRule="exact"/>
              <w:jc w:val="center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表现</w:t>
            </w:r>
          </w:p>
        </w:tc>
        <w:tc>
          <w:tcPr>
            <w:tcW w:w="2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教学方法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是否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灵活多样，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教学内容是否层次清晰、重点突出，课件板书是否精美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，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课堂氛围营造情况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。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课程思政效果</w:t>
            </w:r>
          </w:p>
        </w:tc>
        <w:tc>
          <w:tcPr>
            <w:tcW w:w="2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hint="default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课程思政元素与教学内容的融合度，课程思政内容的表现方式，学生现场接受效果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总分</w:t>
            </w:r>
          </w:p>
        </w:tc>
        <w:tc>
          <w:tcPr>
            <w:tcW w:w="27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100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80" w:lineRule="exac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left="426"/>
        <w:rPr>
          <w:rFonts w:ascii="仿宋" w:hAnsi="仿宋" w:eastAsia="仿宋"/>
          <w:sz w:val="28"/>
          <w:szCs w:val="28"/>
        </w:rPr>
      </w:pPr>
    </w:p>
    <w:p/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2D68F5"/>
    <w:multiLevelType w:val="multilevel"/>
    <w:tmpl w:val="432D68F5"/>
    <w:lvl w:ilvl="0" w:tentative="0">
      <w:start w:val="1"/>
      <w:numFmt w:val="chineseCountingThousand"/>
      <w:lvlText w:val="第%1条 "/>
      <w:lvlJc w:val="left"/>
      <w:pPr>
        <w:ind w:left="1283" w:hanging="720"/>
      </w:pPr>
      <w:rPr>
        <w:rFonts w:hint="default"/>
        <w:b/>
        <w:lang w:val="en-US"/>
      </w:rPr>
    </w:lvl>
    <w:lvl w:ilvl="1" w:tentative="0">
      <w:start w:val="1"/>
      <w:numFmt w:val="lowerLetter"/>
      <w:lvlText w:val="%2)"/>
      <w:lvlJc w:val="left"/>
      <w:pPr>
        <w:ind w:left="1403" w:hanging="420"/>
      </w:pPr>
    </w:lvl>
    <w:lvl w:ilvl="2" w:tentative="0">
      <w:start w:val="1"/>
      <w:numFmt w:val="lowerRoman"/>
      <w:lvlText w:val="%3."/>
      <w:lvlJc w:val="right"/>
      <w:pPr>
        <w:ind w:left="1823" w:hanging="420"/>
      </w:pPr>
    </w:lvl>
    <w:lvl w:ilvl="3" w:tentative="0">
      <w:start w:val="1"/>
      <w:numFmt w:val="decimal"/>
      <w:lvlText w:val="%4."/>
      <w:lvlJc w:val="left"/>
      <w:pPr>
        <w:ind w:left="2243" w:hanging="420"/>
      </w:pPr>
    </w:lvl>
    <w:lvl w:ilvl="4" w:tentative="0">
      <w:start w:val="1"/>
      <w:numFmt w:val="lowerLetter"/>
      <w:lvlText w:val="%5)"/>
      <w:lvlJc w:val="left"/>
      <w:pPr>
        <w:ind w:left="2663" w:hanging="420"/>
      </w:pPr>
    </w:lvl>
    <w:lvl w:ilvl="5" w:tentative="0">
      <w:start w:val="1"/>
      <w:numFmt w:val="lowerRoman"/>
      <w:lvlText w:val="%6."/>
      <w:lvlJc w:val="right"/>
      <w:pPr>
        <w:ind w:left="3083" w:hanging="420"/>
      </w:pPr>
    </w:lvl>
    <w:lvl w:ilvl="6" w:tentative="0">
      <w:start w:val="1"/>
      <w:numFmt w:val="decimal"/>
      <w:lvlText w:val="%7."/>
      <w:lvlJc w:val="left"/>
      <w:pPr>
        <w:ind w:left="3503" w:hanging="420"/>
      </w:pPr>
    </w:lvl>
    <w:lvl w:ilvl="7" w:tentative="0">
      <w:start w:val="1"/>
      <w:numFmt w:val="lowerLetter"/>
      <w:lvlText w:val="%8)"/>
      <w:lvlJc w:val="left"/>
      <w:pPr>
        <w:ind w:left="3923" w:hanging="420"/>
      </w:pPr>
    </w:lvl>
    <w:lvl w:ilvl="8" w:tentative="0">
      <w:start w:val="1"/>
      <w:numFmt w:val="lowerRoman"/>
      <w:lvlText w:val="%9."/>
      <w:lvlJc w:val="right"/>
      <w:pPr>
        <w:ind w:left="4343" w:hanging="420"/>
      </w:pPr>
    </w:lvl>
  </w:abstractNum>
  <w:abstractNum w:abstractNumId="1">
    <w:nsid w:val="6CC1044A"/>
    <w:multiLevelType w:val="multilevel"/>
    <w:tmpl w:val="6CC1044A"/>
    <w:lvl w:ilvl="0" w:tentative="0">
      <w:start w:val="1"/>
      <w:numFmt w:val="chineseCountingThousand"/>
      <w:lvlText w:val="(%1)"/>
      <w:lvlJc w:val="left"/>
      <w:pPr>
        <w:ind w:left="983" w:hanging="420"/>
      </w:pPr>
      <w:rPr>
        <w:b/>
      </w:rPr>
    </w:lvl>
    <w:lvl w:ilvl="1" w:tentative="0">
      <w:start w:val="1"/>
      <w:numFmt w:val="lowerLetter"/>
      <w:lvlText w:val="%2)"/>
      <w:lvlJc w:val="left"/>
      <w:pPr>
        <w:ind w:left="1403" w:hanging="420"/>
      </w:pPr>
    </w:lvl>
    <w:lvl w:ilvl="2" w:tentative="0">
      <w:start w:val="1"/>
      <w:numFmt w:val="lowerRoman"/>
      <w:lvlText w:val="%3."/>
      <w:lvlJc w:val="right"/>
      <w:pPr>
        <w:ind w:left="1823" w:hanging="420"/>
      </w:pPr>
    </w:lvl>
    <w:lvl w:ilvl="3" w:tentative="0">
      <w:start w:val="1"/>
      <w:numFmt w:val="decimal"/>
      <w:lvlText w:val="%4."/>
      <w:lvlJc w:val="left"/>
      <w:pPr>
        <w:ind w:left="2243" w:hanging="420"/>
      </w:pPr>
    </w:lvl>
    <w:lvl w:ilvl="4" w:tentative="0">
      <w:start w:val="1"/>
      <w:numFmt w:val="lowerLetter"/>
      <w:lvlText w:val="%5)"/>
      <w:lvlJc w:val="left"/>
      <w:pPr>
        <w:ind w:left="2663" w:hanging="420"/>
      </w:pPr>
    </w:lvl>
    <w:lvl w:ilvl="5" w:tentative="0">
      <w:start w:val="1"/>
      <w:numFmt w:val="lowerRoman"/>
      <w:lvlText w:val="%6."/>
      <w:lvlJc w:val="right"/>
      <w:pPr>
        <w:ind w:left="3083" w:hanging="420"/>
      </w:pPr>
    </w:lvl>
    <w:lvl w:ilvl="6" w:tentative="0">
      <w:start w:val="1"/>
      <w:numFmt w:val="decimal"/>
      <w:lvlText w:val="%7."/>
      <w:lvlJc w:val="left"/>
      <w:pPr>
        <w:ind w:left="3503" w:hanging="420"/>
      </w:pPr>
    </w:lvl>
    <w:lvl w:ilvl="7" w:tentative="0">
      <w:start w:val="1"/>
      <w:numFmt w:val="lowerLetter"/>
      <w:lvlText w:val="%8)"/>
      <w:lvlJc w:val="left"/>
      <w:pPr>
        <w:ind w:left="3923" w:hanging="420"/>
      </w:pPr>
    </w:lvl>
    <w:lvl w:ilvl="8" w:tentative="0">
      <w:start w:val="1"/>
      <w:numFmt w:val="lowerRoman"/>
      <w:lvlText w:val="%9."/>
      <w:lvlJc w:val="right"/>
      <w:pPr>
        <w:ind w:left="434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MGI2Y2UwMDc1ZTlmNGVmZjU2Njk2Mzg1NzA2ODQifQ=="/>
  </w:docVars>
  <w:rsids>
    <w:rsidRoot w:val="3D774FD9"/>
    <w:rsid w:val="004C784C"/>
    <w:rsid w:val="00F41FFA"/>
    <w:rsid w:val="096A0AE2"/>
    <w:rsid w:val="14200DD6"/>
    <w:rsid w:val="1B7E2A54"/>
    <w:rsid w:val="3D774FD9"/>
    <w:rsid w:val="3FF93C4A"/>
    <w:rsid w:val="4BFCFEDF"/>
    <w:rsid w:val="54FB31E2"/>
    <w:rsid w:val="5BDB9BFA"/>
    <w:rsid w:val="5C0C3786"/>
    <w:rsid w:val="5F777682"/>
    <w:rsid w:val="5FFFDCBA"/>
    <w:rsid w:val="6FDFDBE4"/>
    <w:rsid w:val="77FDF427"/>
    <w:rsid w:val="77FEFD91"/>
    <w:rsid w:val="79D18DF3"/>
    <w:rsid w:val="7BDC3CD6"/>
    <w:rsid w:val="7D77DC45"/>
    <w:rsid w:val="7DFEB6D5"/>
    <w:rsid w:val="7ECFF9C9"/>
    <w:rsid w:val="7F1FE66E"/>
    <w:rsid w:val="7F98B32D"/>
    <w:rsid w:val="7FDF6C07"/>
    <w:rsid w:val="7FF8E88C"/>
    <w:rsid w:val="87BFEC58"/>
    <w:rsid w:val="8EF71385"/>
    <w:rsid w:val="9D1EC51F"/>
    <w:rsid w:val="C5FD4F81"/>
    <w:rsid w:val="CCA5B190"/>
    <w:rsid w:val="D1FFD26C"/>
    <w:rsid w:val="DEA616FB"/>
    <w:rsid w:val="DEFF4503"/>
    <w:rsid w:val="DF5F7DEB"/>
    <w:rsid w:val="DF7A94B8"/>
    <w:rsid w:val="DFE793A3"/>
    <w:rsid w:val="ED7CF8A3"/>
    <w:rsid w:val="EDDF758E"/>
    <w:rsid w:val="EF1D6ECF"/>
    <w:rsid w:val="EFCE7776"/>
    <w:rsid w:val="F42F56A5"/>
    <w:rsid w:val="F6578BD2"/>
    <w:rsid w:val="F6EBF7B0"/>
    <w:rsid w:val="FAF258E2"/>
    <w:rsid w:val="FAFEF070"/>
    <w:rsid w:val="FD5FAD59"/>
    <w:rsid w:val="FDDD7C3A"/>
    <w:rsid w:val="FE4FD2C9"/>
    <w:rsid w:val="FE6EEC71"/>
    <w:rsid w:val="FE87D359"/>
    <w:rsid w:val="FF5F28F4"/>
    <w:rsid w:val="FFAD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hp.com</Company>
  <Pages>7</Pages>
  <Words>2333</Words>
  <Characters>2392</Characters>
  <Lines>19</Lines>
  <Paragraphs>5</Paragraphs>
  <TotalTime>2</TotalTime>
  <ScaleCrop>false</ScaleCrop>
  <LinksUpToDate>false</LinksUpToDate>
  <CharactersWithSpaces>2585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2023-09-28T16:23:00Z</dcterms:created>
  <dc:creator>ZP_zjut</dc:creator>
  <cp:lastModifiedBy>沉鳞</cp:lastModifiedBy>
  <dcterms:modified xsi:type="dcterms:W3CDTF">2023-10-31T05:41:52Z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A7FFBCA2E4AD433209D3106573552E42_41</vt:lpwstr>
  </property>
</Properties>
</file>