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EC16C">
      <w:pPr>
        <w:pStyle w:val="2"/>
        <w:keepNext w:val="0"/>
        <w:keepLines w:val="0"/>
        <w:widowControl/>
        <w:suppressLineNumbers w:val="0"/>
        <w:jc w:val="center"/>
      </w:pPr>
      <w:r>
        <w:t>关于开展2026年度教育教学改革研究项目的申报通知</w:t>
      </w:r>
    </w:p>
    <w:p w14:paraId="67672D94">
      <w:pPr>
        <w:keepNext w:val="0"/>
        <w:keepLines w:val="0"/>
        <w:widowControl/>
        <w:suppressLineNumbers w:val="0"/>
        <w:spacing w:before="75" w:beforeAutospacing="0" w:after="75" w:afterAutospacing="0" w:line="360" w:lineRule="auto"/>
        <w:ind w:left="0" w:right="0" w:firstLine="0"/>
        <w:jc w:val="both"/>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vertAlign w:val="baseline"/>
          <w:lang w:val="en-US" w:eastAsia="zh-CN" w:bidi="ar"/>
        </w:rPr>
        <w:t>学院各部门、各位老师</w:t>
      </w:r>
      <w:r>
        <w:rPr>
          <w:rFonts w:hint="eastAsia" w:asciiTheme="minorEastAsia" w:hAnsiTheme="minorEastAsia" w:eastAsiaTheme="minorEastAsia" w:cstheme="minorEastAsia"/>
          <w:kern w:val="0"/>
          <w:sz w:val="28"/>
          <w:szCs w:val="28"/>
          <w:vertAlign w:val="baseline"/>
          <w:lang w:val="en-US" w:eastAsia="zh-CN" w:bidi="ar"/>
        </w:rPr>
        <w:t>：</w:t>
      </w:r>
    </w:p>
    <w:p w14:paraId="206EECBE">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为深入贯彻全国教育大会精神，主动适应人工智能加速重塑知识生产、学习方式和人才能力结构的新形势，落实学校“十五五”本科教育教学改革部署，推动教学改革从技术赋能走向能力发展、从资源建设走向课堂变革、从经验总结走向实证研究，学校决定开展2026年度教育教学改革研究项目（以下简称“教改项目”）立项申报工作。现将有关事项通知如下：</w:t>
      </w:r>
    </w:p>
    <w:p w14:paraId="77FD3E77">
      <w:pPr>
        <w:pStyle w:val="2"/>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一、总体要求</w:t>
      </w:r>
    </w:p>
    <w:p w14:paraId="59571FEF">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 xml:space="preserve">1. </w:t>
      </w:r>
      <w:r>
        <w:rPr>
          <w:rFonts w:hint="eastAsia" w:asciiTheme="minorEastAsia" w:hAnsiTheme="minorEastAsia" w:eastAsiaTheme="minorEastAsia" w:cstheme="minorEastAsia"/>
          <w:kern w:val="0"/>
          <w:sz w:val="28"/>
          <w:szCs w:val="28"/>
          <w:vertAlign w:val="baseline"/>
          <w:lang w:val="en-US" w:eastAsia="zh-CN" w:bidi="ar"/>
        </w:rPr>
        <w:t>坚持思政引领。把习近平党建思想作为“大思政课”核心内容，紧扣“十四个坚持”科学体系，分专题打造特色教学模块，系统融入思政主干课程，打造习近平党建思想专题思政“金课”。深化课程思政与思政课程协同建设，推动党建育人元素有机嵌入专业课程，不以思政元素简单加入代替课堂真实变革和能力增值。</w:t>
      </w:r>
    </w:p>
    <w:p w14:paraId="03EA07B7">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坚持能力为纲。以人工智能时代学生核心能力的发展和增值为教学改革的出发点和落脚点。每个项目必须明确主攻能力，说明学生在改革前处于什么水平、改革后预期达到什么水平。</w:t>
      </w:r>
    </w:p>
    <w:p w14:paraId="3E4776FF">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坚持课堂为本。教学改革必须发生在真实课堂，以构建教师、学生、人工智能三元协同（以下简称“师-生-机”三元协同）的课堂为导向，实质性改变教学目标、教学过程、学习方式和评价方式。不以平台建设、资源开发和技术应用代替课堂变革。</w:t>
      </w:r>
    </w:p>
    <w:p w14:paraId="4FF19F63">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4.</w:t>
      </w:r>
      <w:r>
        <w:rPr>
          <w:rFonts w:hint="eastAsia" w:asciiTheme="minorEastAsia" w:hAnsiTheme="minorEastAsia" w:eastAsiaTheme="minorEastAsia" w:cstheme="minorEastAsia"/>
          <w:kern w:val="0"/>
          <w:sz w:val="28"/>
          <w:szCs w:val="28"/>
          <w:vertAlign w:val="baseline"/>
          <w:lang w:val="en-US" w:eastAsia="zh-CN" w:bidi="ar"/>
        </w:rPr>
        <w:t>坚持实证为据。以行动研究和准实验研究为主线开展课堂教学改革实验，先测基线、再行干预、持续迭代，用学生能力增值的证据证明改革成效。</w:t>
      </w:r>
    </w:p>
    <w:p w14:paraId="7EE135D9">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5.</w:t>
      </w:r>
      <w:r>
        <w:rPr>
          <w:rFonts w:hint="eastAsia" w:asciiTheme="minorEastAsia" w:hAnsiTheme="minorEastAsia" w:eastAsiaTheme="minorEastAsia" w:cstheme="minorEastAsia"/>
          <w:kern w:val="0"/>
          <w:sz w:val="28"/>
          <w:szCs w:val="28"/>
          <w:vertAlign w:val="baseline"/>
          <w:lang w:val="en-US" w:eastAsia="zh-CN" w:bidi="ar"/>
        </w:rPr>
        <w:t>坚持成果多元。以课堂实录视频、能力测评数据和学生学习成果作为改革成效的主要证明，不以发表论文作为结题的必备条件和单一评价标准。</w:t>
      </w:r>
    </w:p>
    <w:p w14:paraId="55091197">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6.</w:t>
      </w:r>
      <w:r>
        <w:rPr>
          <w:rFonts w:hint="eastAsia" w:asciiTheme="minorEastAsia" w:hAnsiTheme="minorEastAsia" w:eastAsiaTheme="minorEastAsia" w:cstheme="minorEastAsia"/>
          <w:kern w:val="0"/>
          <w:sz w:val="28"/>
          <w:szCs w:val="28"/>
          <w:vertAlign w:val="baseline"/>
          <w:lang w:val="en-US" w:eastAsia="zh-CN" w:bidi="ar"/>
        </w:rPr>
        <w:t>坚持守正创新。坚持教师主导、学生主体、人工智能辅助，明确人工智能的使用边界，防止以人工智能替代学生必要的认知加工、独立思考、实践训练和价值判断，强化学术诚信、数据安全、知识产权和研究伦理。</w:t>
      </w:r>
    </w:p>
    <w:p w14:paraId="49284C3E">
      <w:pPr>
        <w:pStyle w:val="2"/>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二、人工智能时代学生能力框架</w:t>
      </w:r>
    </w:p>
    <w:p w14:paraId="6B16FB94">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本年度教改项目围绕六项核心能力和两项支撑能力组织，见表1。核心能力建立在扎实的学科基础之上，通识课程和专业基础课程项目应说明如何在夯实基础的同时发展能力。各项能力的可观察表现和典型证据见《选题指南》（附件1）。</w:t>
      </w:r>
    </w:p>
    <w:p w14:paraId="00A419CF">
      <w:pPr>
        <w:keepNext w:val="0"/>
        <w:keepLines w:val="0"/>
        <w:widowControl/>
        <w:suppressLineNumbers w:val="0"/>
        <w:spacing w:before="120" w:beforeAutospacing="0" w:after="60" w:afterAutospacing="0" w:line="360" w:lineRule="auto"/>
        <w:ind w:left="0" w:right="0" w:firstLine="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表1　人工智能时代学生能力框架</w:t>
      </w:r>
    </w:p>
    <w:tbl>
      <w:tblPr>
        <w:tblStyle w:val="3"/>
        <w:tblW w:w="10125" w:type="dxa"/>
        <w:jc w:val="center"/>
        <w:tblCellSpacing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89"/>
        <w:gridCol w:w="2598"/>
        <w:gridCol w:w="6338"/>
      </w:tblGrid>
      <w:tr w14:paraId="08B7C7F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jc w:val="center"/>
        </w:trPr>
        <w:tc>
          <w:tcPr>
            <w:tcW w:w="1140" w:type="dxa"/>
            <w:tcBorders>
              <w:top w:val="single" w:color="000000" w:sz="2" w:space="0"/>
              <w:left w:val="single" w:color="000000" w:sz="6" w:space="0"/>
              <w:bottom w:val="single" w:color="000000" w:sz="2" w:space="0"/>
              <w:right w:val="single" w:color="000000" w:sz="2" w:space="0"/>
            </w:tcBorders>
            <w:shd w:val="clear" w:color="auto" w:fill="auto"/>
            <w:tcMar>
              <w:left w:w="105" w:type="dxa"/>
              <w:right w:w="105" w:type="dxa"/>
            </w:tcMar>
            <w:vAlign w:val="center"/>
          </w:tcPr>
          <w:p w14:paraId="729D1800">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类别</w:t>
            </w: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186D68E0">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能力</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71352F0C">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内涵要点</w:t>
            </w:r>
          </w:p>
        </w:tc>
      </w:tr>
      <w:tr w14:paraId="0F6DA36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restart"/>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6D7A6415">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核心能力</w:t>
            </w: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3FA2F526">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1.复杂问题发现与定义</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35801F39">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在真实、开放、信息不完整的情境中识别关键矛盾，界定问题边界、约束条件和成功标准，把模糊需求转化为可研究、可求解的问题</w:t>
            </w:r>
          </w:p>
        </w:tc>
      </w:tr>
      <w:tr w14:paraId="71B1699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00A2D9F0">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02EA3BEA">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2.跨学科知识整合</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35F8DED4">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调用并联结多学科的概念、方法和工具，形成对问题的整体理解和综合方案，并能迁移到新情境</w:t>
            </w:r>
          </w:p>
        </w:tc>
      </w:tr>
      <w:tr w14:paraId="470B6F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380D363F">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062A65D6">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3.批判性思维与判断</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52998017">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对信息、论证和人工智能生成内容进行质疑、核验、比较和取舍，基于证据作出有理由的判断和决策</w:t>
            </w:r>
          </w:p>
        </w:tc>
      </w:tr>
      <w:tr w14:paraId="222FCE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1D5191B2">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44B5E306">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4.人机协同与人工智能驾驭</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1589A788">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理解人工智能的能力边界，能合理分工、有效提问、检验结果、迭代优化，并对人机协同的产出负责</w:t>
            </w:r>
          </w:p>
        </w:tc>
      </w:tr>
      <w:tr w14:paraId="33F6919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269348FF">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01AC2CD7">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5.真实情境中的设计实践与创新</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604A70D4">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面向真实需求完成方案设计、原型实现、测试验证和迭代改进，产出有新意、可验证的成果</w:t>
            </w:r>
          </w:p>
        </w:tc>
      </w:tr>
      <w:tr w14:paraId="5D5E7F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3A295027">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14E95DD5">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6.伦理责任与价值判断</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06ECB609">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识别技术和工程活动中的伦理风险与利益相关方，权衡价值冲突，恪守学术诚信和职业规范，自觉运用习近平党建思想蕴含的立场观点方法，理解“十四个坚持”的实践要求，体现社会责任</w:t>
            </w:r>
          </w:p>
        </w:tc>
      </w:tr>
      <w:tr w14:paraId="77650B1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restart"/>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04F0FE5C">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支撑能力</w:t>
            </w: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7ED566FF">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7.自主学习与元认知</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12DF0E51">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能设定学习目标、监控和调整学习过程，在人工智能可以代劳的情况下保持必要的独立思考和刻意练习</w:t>
            </w:r>
          </w:p>
        </w:tc>
      </w:tr>
      <w:tr w14:paraId="526568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140" w:type="dxa"/>
            <w:vMerge w:val="continue"/>
            <w:tcBorders>
              <w:top w:val="single" w:color="000000" w:sz="2" w:space="0"/>
              <w:left w:val="single" w:color="000000" w:sz="4" w:space="0"/>
              <w:bottom w:val="single" w:color="000000" w:sz="2" w:space="0"/>
              <w:right w:val="single" w:color="000000" w:sz="2" w:space="0"/>
            </w:tcBorders>
            <w:shd w:val="clear" w:color="auto" w:fill="auto"/>
            <w:tcMar>
              <w:left w:w="105" w:type="dxa"/>
              <w:right w:w="105" w:type="dxa"/>
            </w:tcMar>
            <w:vAlign w:val="center"/>
          </w:tcPr>
          <w:p w14:paraId="79BC4224">
            <w:pPr>
              <w:spacing w:line="360" w:lineRule="auto"/>
              <w:rPr>
                <w:rFonts w:hint="eastAsia" w:asciiTheme="minorEastAsia" w:hAnsiTheme="minorEastAsia" w:eastAsiaTheme="minorEastAsia" w:cstheme="minorEastAsia"/>
                <w:sz w:val="24"/>
                <w:szCs w:val="24"/>
              </w:rPr>
            </w:pPr>
          </w:p>
        </w:tc>
        <w:tc>
          <w:tcPr>
            <w:tcW w:w="2490"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3D389771">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8.沟通表达与团队协作</w:t>
            </w:r>
          </w:p>
        </w:tc>
        <w:tc>
          <w:tcPr>
            <w:tcW w:w="6075" w:type="dxa"/>
            <w:tcBorders>
              <w:top w:val="single" w:color="000000" w:sz="2" w:space="0"/>
              <w:left w:val="single" w:color="000000" w:sz="2" w:space="0"/>
              <w:bottom w:val="single" w:color="000000" w:sz="2" w:space="0"/>
              <w:right w:val="single" w:color="000000" w:sz="2" w:space="0"/>
            </w:tcBorders>
            <w:shd w:val="clear" w:color="auto" w:fill="auto"/>
            <w:tcMar>
              <w:left w:w="105" w:type="dxa"/>
              <w:right w:w="105" w:type="dxa"/>
            </w:tcMar>
            <w:vAlign w:val="center"/>
          </w:tcPr>
          <w:p w14:paraId="2CDCD39C">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能清晰表达观点和论证，在跨专业团队中承担角色、协商分歧、共同完成任务</w:t>
            </w:r>
          </w:p>
        </w:tc>
      </w:tr>
    </w:tbl>
    <w:p w14:paraId="52DB2387">
      <w:pPr>
        <w:keepNext w:val="0"/>
        <w:keepLines w:val="0"/>
        <w:widowControl/>
        <w:suppressLineNumbers w:val="0"/>
        <w:spacing w:before="0" w:beforeAutospacing="0" w:after="0" w:afterAutospacing="0" w:line="360" w:lineRule="auto"/>
        <w:ind w:left="0" w:right="0" w:firstLine="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vertAlign w:val="baseline"/>
          <w:lang w:val="en-US" w:eastAsia="zh-CN" w:bidi="ar"/>
        </w:rPr>
        <w:t> </w:t>
      </w:r>
    </w:p>
    <w:p w14:paraId="361E8FA5">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三、项目类型与改革重点</w:t>
      </w:r>
    </w:p>
    <w:p w14:paraId="77403A99">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cstheme="minorEastAsia"/>
          <w:kern w:val="0"/>
          <w:sz w:val="28"/>
          <w:szCs w:val="28"/>
          <w:vertAlign w:val="baseline"/>
          <w:lang w:val="en-US" w:eastAsia="zh-CN" w:bidi="ar"/>
        </w:rPr>
        <w:t>学院可以申报的</w:t>
      </w:r>
      <w:r>
        <w:rPr>
          <w:rFonts w:hint="eastAsia" w:asciiTheme="minorEastAsia" w:hAnsiTheme="minorEastAsia" w:eastAsiaTheme="minorEastAsia" w:cstheme="minorEastAsia"/>
          <w:kern w:val="0"/>
          <w:sz w:val="28"/>
          <w:szCs w:val="28"/>
          <w:vertAlign w:val="baseline"/>
          <w:lang w:val="en-US" w:eastAsia="zh-CN" w:bidi="ar"/>
        </w:rPr>
        <w:t>教改项目分为重点和一般</w:t>
      </w:r>
      <w:r>
        <w:rPr>
          <w:rFonts w:hint="eastAsia" w:asciiTheme="minorEastAsia" w:hAnsiTheme="minorEastAsia" w:cstheme="minorEastAsia"/>
          <w:kern w:val="0"/>
          <w:sz w:val="28"/>
          <w:szCs w:val="28"/>
          <w:vertAlign w:val="baseline"/>
          <w:lang w:val="en-US" w:eastAsia="zh-CN" w:bidi="ar"/>
        </w:rPr>
        <w:t>二</w:t>
      </w:r>
      <w:r>
        <w:rPr>
          <w:rFonts w:hint="eastAsia" w:asciiTheme="minorEastAsia" w:hAnsiTheme="minorEastAsia" w:eastAsiaTheme="minorEastAsia" w:cstheme="minorEastAsia"/>
          <w:kern w:val="0"/>
          <w:sz w:val="28"/>
          <w:szCs w:val="28"/>
          <w:vertAlign w:val="baseline"/>
          <w:lang w:val="en-US" w:eastAsia="zh-CN" w:bidi="ar"/>
        </w:rPr>
        <w:t>类，按能力培养的广度、改革层面和证据强度分层设计，重点建设期为2年，一般项目建设期为1年，见表2。</w:t>
      </w:r>
    </w:p>
    <w:p w14:paraId="61BA18CD">
      <w:pPr>
        <w:keepNext w:val="0"/>
        <w:keepLines w:val="0"/>
        <w:widowControl/>
        <w:suppressLineNumbers w:val="0"/>
        <w:spacing w:before="120" w:beforeAutospacing="0" w:after="60" w:afterAutospacing="0" w:line="360" w:lineRule="auto"/>
        <w:ind w:left="0" w:right="0" w:firstLine="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表2　</w:t>
      </w:r>
      <w:r>
        <w:rPr>
          <w:rFonts w:hint="eastAsia" w:asciiTheme="minorEastAsia" w:hAnsiTheme="minorEastAsia" w:cstheme="minorEastAsia"/>
          <w:kern w:val="0"/>
          <w:sz w:val="28"/>
          <w:szCs w:val="28"/>
          <w:vertAlign w:val="baseline"/>
          <w:lang w:val="en-US" w:eastAsia="zh-CN" w:bidi="ar"/>
        </w:rPr>
        <w:t>二</w:t>
      </w:r>
      <w:r>
        <w:rPr>
          <w:rFonts w:hint="eastAsia" w:asciiTheme="minorEastAsia" w:hAnsiTheme="minorEastAsia" w:eastAsiaTheme="minorEastAsia" w:cstheme="minorEastAsia"/>
          <w:kern w:val="0"/>
          <w:sz w:val="28"/>
          <w:szCs w:val="28"/>
          <w:vertAlign w:val="baseline"/>
          <w:lang w:val="en-US" w:eastAsia="zh-CN" w:bidi="ar"/>
        </w:rPr>
        <w:t>类项目的分层要求</w:t>
      </w:r>
    </w:p>
    <w:tbl>
      <w:tblPr>
        <w:tblStyle w:val="3"/>
        <w:tblW w:w="8850" w:type="dxa"/>
        <w:jc w:val="center"/>
        <w:tblCellSpacing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98"/>
        <w:gridCol w:w="1472"/>
        <w:gridCol w:w="1938"/>
        <w:gridCol w:w="2043"/>
        <w:gridCol w:w="1699"/>
      </w:tblGrid>
      <w:tr w14:paraId="2D8009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jc w:val="center"/>
        </w:trPr>
        <w:tc>
          <w:tcPr>
            <w:tcW w:w="169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4979EC4">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项目类型</w:t>
            </w:r>
          </w:p>
        </w:tc>
        <w:tc>
          <w:tcPr>
            <w:tcW w:w="1472"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3CF75D0">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改革层面</w:t>
            </w:r>
          </w:p>
        </w:tc>
        <w:tc>
          <w:tcPr>
            <w:tcW w:w="193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9DE27E1">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能力主线</w:t>
            </w:r>
          </w:p>
        </w:tc>
        <w:tc>
          <w:tcPr>
            <w:tcW w:w="2043"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A4321E2">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研究设计</w:t>
            </w:r>
          </w:p>
        </w:tc>
        <w:tc>
          <w:tcPr>
            <w:tcW w:w="169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63383F5">
            <w:pPr>
              <w:keepNext w:val="0"/>
              <w:keepLines w:val="0"/>
              <w:widowControl/>
              <w:suppressLineNumbers w:val="0"/>
              <w:spacing w:before="15" w:beforeAutospacing="0" w:after="15" w:afterAutospacing="0" w:line="36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证据要求</w:t>
            </w:r>
          </w:p>
        </w:tc>
      </w:tr>
      <w:tr w14:paraId="4FEC5E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69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0A99B86">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重点项目：未来课堂</w:t>
            </w:r>
          </w:p>
        </w:tc>
        <w:tc>
          <w:tcPr>
            <w:tcW w:w="1472"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F542471">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核心课程的课堂教学模式</w:t>
            </w:r>
          </w:p>
        </w:tc>
        <w:tc>
          <w:tcPr>
            <w:tcW w:w="193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9685B6D">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主攻2-3项能力，其中核心能力不少于2项</w:t>
            </w:r>
          </w:p>
        </w:tc>
        <w:tc>
          <w:tcPr>
            <w:tcW w:w="2043"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4487865">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准实验设计；不少于两个完整教学周期</w:t>
            </w:r>
          </w:p>
        </w:tc>
        <w:tc>
          <w:tcPr>
            <w:tcW w:w="169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46BD877">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A级证据；完整的课堂证据包</w:t>
            </w:r>
          </w:p>
        </w:tc>
      </w:tr>
      <w:tr w14:paraId="70B476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69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35EE21D1">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一般项目：课程教学创新</w:t>
            </w:r>
          </w:p>
        </w:tc>
        <w:tc>
          <w:tcPr>
            <w:tcW w:w="1472"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7ED81BF">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单门课程或课程模块</w:t>
            </w:r>
          </w:p>
        </w:tc>
        <w:tc>
          <w:tcPr>
            <w:tcW w:w="1938"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9C3B626">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主攻1-2项能力</w:t>
            </w:r>
          </w:p>
        </w:tc>
        <w:tc>
          <w:tcPr>
            <w:tcW w:w="2043"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A6E7E5F">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不少于一轮完整的行动研究，有前后测</w:t>
            </w:r>
          </w:p>
        </w:tc>
        <w:tc>
          <w:tcPr>
            <w:tcW w:w="169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711CCE33">
            <w:pPr>
              <w:keepNext w:val="0"/>
              <w:keepLines w:val="0"/>
              <w:widowControl/>
              <w:suppressLineNumbers w:val="0"/>
              <w:spacing w:before="15" w:beforeAutospacing="0" w:after="15" w:afterAutospacing="0" w:line="36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vertAlign w:val="baseline"/>
                <w:lang w:val="en-US" w:eastAsia="zh-CN" w:bidi="ar"/>
              </w:rPr>
              <w:t>B级及以上证据；基本的课堂证据包</w:t>
            </w:r>
          </w:p>
        </w:tc>
      </w:tr>
    </w:tbl>
    <w:p w14:paraId="3BE294BB">
      <w:pPr>
        <w:keepNext w:val="0"/>
        <w:keepLines w:val="0"/>
        <w:widowControl/>
        <w:suppressLineNumbers w:val="0"/>
        <w:spacing w:before="0" w:beforeAutospacing="0" w:after="0" w:afterAutospacing="0" w:line="360" w:lineRule="auto"/>
        <w:ind w:left="0" w:right="0" w:firstLine="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vertAlign w:val="baseline"/>
          <w:lang w:val="en-US" w:eastAsia="zh-CN" w:bidi="ar"/>
        </w:rPr>
        <w:t> </w:t>
      </w:r>
    </w:p>
    <w:p w14:paraId="394549AB">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w:t>
      </w:r>
      <w:r>
        <w:rPr>
          <w:rFonts w:hint="eastAsia" w:asciiTheme="minorEastAsia" w:hAnsiTheme="minorEastAsia" w:cstheme="minorEastAsia"/>
          <w:kern w:val="0"/>
          <w:sz w:val="28"/>
          <w:szCs w:val="28"/>
          <w:vertAlign w:val="baseline"/>
          <w:lang w:val="en-US" w:eastAsia="zh-CN" w:bidi="ar"/>
        </w:rPr>
        <w:t>一</w:t>
      </w:r>
      <w:r>
        <w:rPr>
          <w:rFonts w:hint="eastAsia" w:asciiTheme="minorEastAsia" w:hAnsiTheme="minorEastAsia" w:eastAsiaTheme="minorEastAsia" w:cstheme="minorEastAsia"/>
          <w:kern w:val="0"/>
          <w:sz w:val="28"/>
          <w:szCs w:val="28"/>
          <w:vertAlign w:val="baseline"/>
          <w:lang w:val="en-US" w:eastAsia="zh-CN" w:bidi="ar"/>
        </w:rPr>
        <w:t>）</w:t>
      </w:r>
      <w:r>
        <w:rPr>
          <w:rFonts w:hint="eastAsia" w:asciiTheme="minorEastAsia" w:hAnsiTheme="minorEastAsia" w:eastAsiaTheme="minorEastAsia" w:cstheme="minorEastAsia"/>
          <w:kern w:val="0"/>
          <w:sz w:val="28"/>
          <w:szCs w:val="28"/>
          <w:lang w:val="en-US" w:eastAsia="zh-CN" w:bidi="ar"/>
        </w:rPr>
        <w:t>重点教学改革项目：未来课堂教学改革</w:t>
      </w:r>
    </w:p>
    <w:p w14:paraId="124D160B">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面向核心通识课程、专业基础课和专业核心课，重塑“师-生-机”三元协同的课堂教学生态。每个项目主攻2-3项能力，其中核心能力不少于2项，须采用准实验设计，完成不少于两个完整教学周期的改革实践。设四个方向：</w:t>
      </w:r>
    </w:p>
    <w:p w14:paraId="592E3370">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方向一：核心通识课程未来课堂。针对学生起点差异大、基础学习效率不高、容易依赖人工智能完成作业等问题，可参考“诊-学-练-评”模式，通过学情诊断、差异化学习、精准练习和增值评价，在夯实基础的同时，重点发展自主学习与元认知、批判性思维与判断等能力。</w:t>
      </w:r>
    </w:p>
    <w:p w14:paraId="04F7F1EC">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方向二：专业基础课未来课堂。针对学生会做题但不会迁移、知识碎片化、缺少方法判断等问题，可参考“建模-辨析-迁移-构网”模式，通过多解比较、错误辨析、方法迁移和知识结构化，重点发展批判性思维与判断、跨学科知识整合、复杂问题发现与定义等能力。</w:t>
      </w:r>
    </w:p>
    <w:p w14:paraId="3C668485">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方向三：专业核心课未来课堂。针对理论学习与真实场景脱节、复杂问题解决能力不足等问题，可参考“立题-质疑-创构-验证”模式，以真实复杂问题和产业场景为载体，引导学生定义真问题、质疑人工智能生成的方案、开展多方案决策并形成可验证成果，重点发展复杂问题发现与定义、设计实践与创新、人机协同与人工智能驾驭、伦理责任与价值判断等能力。</w:t>
      </w:r>
    </w:p>
    <w:p w14:paraId="66CAA4F6">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方向四：核心能力测评与学习评价改革。面向核心能力开发可共享的表现性评价任务、评价量规和增值评价方法，探索开放性任务、口头答辩、项目成果评价和人机协作条件下的能力评价，在不少于2门课程中检验其信度和效度，成果向全校开放使用。</w:t>
      </w:r>
    </w:p>
    <w:p w14:paraId="3C2E0817">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上述课堂模式是参考框架，不是限定要求。项目应从主攻能力出发反向设计课堂，避免套用模式名称而课堂没有实质变化。</w:t>
      </w:r>
    </w:p>
    <w:p w14:paraId="06F5DB89">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w:t>
      </w:r>
      <w:r>
        <w:rPr>
          <w:rFonts w:hint="eastAsia" w:asciiTheme="minorEastAsia" w:hAnsiTheme="minorEastAsia" w:cstheme="minorEastAsia"/>
          <w:kern w:val="0"/>
          <w:sz w:val="28"/>
          <w:szCs w:val="28"/>
          <w:vertAlign w:val="baseline"/>
          <w:lang w:val="en-US" w:eastAsia="zh-CN" w:bidi="ar"/>
        </w:rPr>
        <w:t>二</w:t>
      </w:r>
      <w:r>
        <w:rPr>
          <w:rFonts w:hint="eastAsia" w:asciiTheme="minorEastAsia" w:hAnsiTheme="minorEastAsia" w:eastAsiaTheme="minorEastAsia" w:cstheme="minorEastAsia"/>
          <w:kern w:val="0"/>
          <w:sz w:val="28"/>
          <w:szCs w:val="28"/>
          <w:vertAlign w:val="baseline"/>
          <w:lang w:val="en-US" w:eastAsia="zh-CN" w:bidi="ar"/>
        </w:rPr>
        <w:t>）一般教学改革项目：课程教学创新</w:t>
      </w:r>
    </w:p>
    <w:p w14:paraId="4A704CC6">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聚焦单门课程或课程模块的真实教学问题，主攻1-2项能力，小切口、真改革、可验证。支持能力图谱驱动的课程目标与内容重构、人机协同教学、研讨式教学、案例式教学、项目化教学、分层与个性化教学、过程性评价，以及习近平党建思想专题教学模块、思政“金课”数字化资源、专业课程党建育人元素嵌入等改革实践。一般项目不以是否使用人工智能作为创新性的判断标准，重点考察课堂是否真正改变、学生主攻能力是否得到可验证的提升。</w:t>
      </w:r>
    </w:p>
    <w:p w14:paraId="1BC197CF">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四、改革与研究要求</w:t>
      </w:r>
    </w:p>
    <w:p w14:paraId="75598B1F">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（一）</w:t>
      </w:r>
      <w:r>
        <w:rPr>
          <w:rFonts w:hint="eastAsia" w:asciiTheme="minorEastAsia" w:hAnsiTheme="minorEastAsia" w:eastAsiaTheme="minorEastAsia" w:cstheme="minorEastAsia"/>
          <w:kern w:val="0"/>
          <w:sz w:val="28"/>
          <w:szCs w:val="28"/>
          <w:vertAlign w:val="baseline"/>
          <w:lang w:val="en-US" w:eastAsia="zh-CN" w:bidi="ar"/>
        </w:rPr>
        <w:t>建设“师</w:t>
      </w:r>
      <w:r>
        <w:rPr>
          <w:rFonts w:hint="eastAsia" w:asciiTheme="minorEastAsia" w:hAnsiTheme="minorEastAsia" w:eastAsiaTheme="minorEastAsia" w:cstheme="minorEastAsia"/>
          <w:kern w:val="0"/>
          <w:sz w:val="28"/>
          <w:szCs w:val="28"/>
          <w:lang w:val="en-US" w:eastAsia="zh-CN" w:bidi="ar"/>
        </w:rPr>
        <w:t>-</w:t>
      </w:r>
      <w:r>
        <w:rPr>
          <w:rFonts w:hint="eastAsia" w:asciiTheme="minorEastAsia" w:hAnsiTheme="minorEastAsia" w:eastAsiaTheme="minorEastAsia" w:cstheme="minorEastAsia"/>
          <w:kern w:val="0"/>
          <w:sz w:val="28"/>
          <w:szCs w:val="28"/>
          <w:vertAlign w:val="baseline"/>
          <w:lang w:val="en-US" w:eastAsia="zh-CN" w:bidi="ar"/>
        </w:rPr>
        <w:t>生</w:t>
      </w:r>
      <w:r>
        <w:rPr>
          <w:rFonts w:hint="eastAsia" w:asciiTheme="minorEastAsia" w:hAnsiTheme="minorEastAsia" w:eastAsiaTheme="minorEastAsia" w:cstheme="minorEastAsia"/>
          <w:kern w:val="0"/>
          <w:sz w:val="28"/>
          <w:szCs w:val="28"/>
          <w:lang w:val="en-US" w:eastAsia="zh-CN" w:bidi="ar"/>
        </w:rPr>
        <w:t>-</w:t>
      </w:r>
      <w:r>
        <w:rPr>
          <w:rFonts w:hint="eastAsia" w:asciiTheme="minorEastAsia" w:hAnsiTheme="minorEastAsia" w:eastAsiaTheme="minorEastAsia" w:cstheme="minorEastAsia"/>
          <w:kern w:val="0"/>
          <w:sz w:val="28"/>
          <w:szCs w:val="28"/>
          <w:vertAlign w:val="baseline"/>
          <w:lang w:val="en-US" w:eastAsia="zh-CN" w:bidi="ar"/>
        </w:rPr>
        <w:t>机”三元协同课堂</w:t>
      </w:r>
    </w:p>
    <w:p w14:paraId="08595815">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1.</w:t>
      </w:r>
      <w:r>
        <w:rPr>
          <w:rFonts w:hint="eastAsia" w:asciiTheme="minorEastAsia" w:hAnsiTheme="minorEastAsia" w:eastAsiaTheme="minorEastAsia" w:cstheme="minorEastAsia"/>
          <w:kern w:val="0"/>
          <w:sz w:val="28"/>
          <w:szCs w:val="28"/>
          <w:vertAlign w:val="baseline"/>
          <w:lang w:val="en-US" w:eastAsia="zh-CN" w:bidi="ar"/>
        </w:rPr>
        <w:t>教师是学习与认知的设计者。课堂时间主要用于高阶任务的设计、引导、追问和反馈，而不是单向讲授。</w:t>
      </w:r>
    </w:p>
    <w:p w14:paraId="7C90555A">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学生是主动建构者。学生有可见的独立思考和认知加工环节，先独立、后协同，产出可评价的学习成果。</w:t>
      </w:r>
    </w:p>
    <w:p w14:paraId="68B10BC1">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人工智能是有边界的能力增强工具。每个教学环节都明确人工智能的角色，如陪练、对手、助教或工具，明确允许使用、限制使用和必须独立完成的范围。</w:t>
      </w:r>
    </w:p>
    <w:p w14:paraId="4522C0D7">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4.</w:t>
      </w:r>
      <w:r>
        <w:rPr>
          <w:rFonts w:hint="eastAsia" w:asciiTheme="minorEastAsia" w:hAnsiTheme="minorEastAsia" w:eastAsiaTheme="minorEastAsia" w:cstheme="minorEastAsia"/>
          <w:kern w:val="0"/>
          <w:sz w:val="28"/>
          <w:szCs w:val="28"/>
          <w:vertAlign w:val="baseline"/>
          <w:lang w:val="en-US" w:eastAsia="zh-CN" w:bidi="ar"/>
        </w:rPr>
        <w:t>三元互动真实发生。课堂中教师与学生、学生与学生、学生与人工智能围绕同一学习任务多向互动，学生对人工智能的输出进行质疑、核验和改进。</w:t>
      </w:r>
    </w:p>
    <w:p w14:paraId="355EF2CE">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5.</w:t>
      </w:r>
      <w:r>
        <w:rPr>
          <w:rFonts w:hint="eastAsia" w:asciiTheme="minorEastAsia" w:hAnsiTheme="minorEastAsia" w:eastAsiaTheme="minorEastAsia" w:cstheme="minorEastAsia"/>
          <w:kern w:val="0"/>
          <w:sz w:val="28"/>
          <w:szCs w:val="28"/>
          <w:vertAlign w:val="baseline"/>
          <w:lang w:val="en-US" w:eastAsia="zh-CN" w:bidi="ar"/>
        </w:rPr>
        <w:t>教、学、评一致。学习任务、课堂活动和评价方式都指向主攻能力，评价能够反映学生在有人工智能和没有人工智能两种条件下的真实能力。</w:t>
      </w:r>
    </w:p>
    <w:p w14:paraId="7CDA76F6">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（二）以行动研究和准实验研究为主线</w:t>
      </w:r>
    </w:p>
    <w:p w14:paraId="1F52CCF0">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1.</w:t>
      </w:r>
      <w:r>
        <w:rPr>
          <w:rFonts w:hint="eastAsia" w:asciiTheme="minorEastAsia" w:hAnsiTheme="minorEastAsia" w:eastAsiaTheme="minorEastAsia" w:cstheme="minorEastAsia"/>
          <w:kern w:val="0"/>
          <w:sz w:val="28"/>
          <w:szCs w:val="28"/>
          <w:vertAlign w:val="baseline"/>
          <w:lang w:val="en-US" w:eastAsia="zh-CN" w:bidi="ar"/>
        </w:rPr>
        <w:t>行动研究。项目按“计划-行动-观察-反思”循环推进，每一轮覆盖一个完整教学周期。每轮结束须形成课堂证据和反思改进记录，下一轮的改进应有上一轮证据的支持。重点项目不少于两轮，一般项目不少于一轮。</w:t>
      </w:r>
    </w:p>
    <w:p w14:paraId="7FBB3A08">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准实验研究。重点项目须采用准实验设计，优先采用平行班对照。没有平行班的，可采用与上一届同一课程的历史对照，或单组多时间点前后测设计，并说明对主要干扰因素的控制办法。一般项目至少采用单组前后测设计。</w:t>
      </w:r>
    </w:p>
    <w:p w14:paraId="51540A6E">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基线先行。所有项目须在改革实施前完成主攻能力的基线测量。没有基线的，结题时不予认定能力增值成效。</w:t>
      </w:r>
    </w:p>
    <w:p w14:paraId="64725516">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4.</w:t>
      </w:r>
      <w:r>
        <w:rPr>
          <w:rFonts w:hint="eastAsia" w:asciiTheme="minorEastAsia" w:hAnsiTheme="minorEastAsia" w:eastAsiaTheme="minorEastAsia" w:cstheme="minorEastAsia"/>
          <w:kern w:val="0"/>
          <w:sz w:val="28"/>
          <w:szCs w:val="28"/>
          <w:vertAlign w:val="baseline"/>
          <w:lang w:val="en-US" w:eastAsia="zh-CN" w:bidi="ar"/>
        </w:rPr>
        <w:t>测评方法。能力测评以表现性评价为主，通过开放性任务、作品、答辩和问题解决表现，依据评价量规评分，鼓励双人评分和盲评。学生自陈问卷只能作为辅助证据。</w:t>
      </w:r>
    </w:p>
    <w:p w14:paraId="6FE1BFDA">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（三）</w:t>
      </w:r>
      <w:r>
        <w:rPr>
          <w:rFonts w:hint="eastAsia" w:asciiTheme="minorEastAsia" w:hAnsiTheme="minorEastAsia" w:eastAsiaTheme="minorEastAsia" w:cstheme="minorEastAsia"/>
          <w:kern w:val="0"/>
          <w:sz w:val="28"/>
          <w:szCs w:val="28"/>
          <w:lang w:val="en-US" w:eastAsia="zh-CN" w:bidi="ar"/>
        </w:rPr>
        <w:t>用能力增值证据证明成效</w:t>
      </w:r>
    </w:p>
    <w:p w14:paraId="08DFCD3D">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学生能力增值证据分为三级。A级为对照证据，有实验组和对照组，对照组可以是平行班或历史同期班级，并有前后测。B级为前后测证据，单组前后测，辅以学习成果和表现证据。C级为描述性证据，如满意度调查、访谈和教师自述，只能作为补充。重点项目结题须达到A级，一般项目须达到B级及以上。</w:t>
      </w:r>
    </w:p>
    <w:p w14:paraId="1CC5565C">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（四）</w:t>
      </w:r>
      <w:r>
        <w:rPr>
          <w:rFonts w:hint="eastAsia" w:asciiTheme="minorEastAsia" w:hAnsiTheme="minorEastAsia" w:eastAsiaTheme="minorEastAsia" w:cstheme="minorEastAsia"/>
          <w:kern w:val="0"/>
          <w:sz w:val="28"/>
          <w:szCs w:val="28"/>
          <w:lang w:val="en-US" w:eastAsia="zh-CN" w:bidi="ar"/>
        </w:rPr>
        <w:t>遵守人工智能使用边界和研究伦理</w:t>
      </w:r>
    </w:p>
    <w:p w14:paraId="142D6948">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涉及人工智能应用的项目，须按教学环节明确允许使用、限制使用和必须独立完成的范围，建立人工智能生成内容的标识和引用规范。开展对照研究不得使对照班学生处于不利地位，可采用延迟实施或交叉实施等设计。课堂录像、学生作品和学习数据的采集使用，须事先告知学生并取得同意，数据作去标识化处理，仅用于教学研究和成果交流。</w:t>
      </w:r>
    </w:p>
    <w:p w14:paraId="0225A3D2">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五、申报条件与限额</w:t>
      </w:r>
    </w:p>
    <w:p w14:paraId="17FE7693">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1.</w:t>
      </w:r>
      <w:r>
        <w:rPr>
          <w:rFonts w:hint="eastAsia" w:asciiTheme="minorEastAsia" w:hAnsiTheme="minorEastAsia" w:eastAsiaTheme="minorEastAsia" w:cstheme="minorEastAsia"/>
          <w:kern w:val="0"/>
          <w:sz w:val="28"/>
          <w:szCs w:val="28"/>
          <w:vertAlign w:val="baseline"/>
          <w:lang w:val="en-US" w:eastAsia="zh-CN" w:bidi="ar"/>
        </w:rPr>
        <w:t>负责人要求。每位教师作为项目负责人只能申报1项。重点、一般项目负责人须为所改革课程的主讲教师，建设期内承担该课程教学任务。项目负责人两年内应无退休、调离学校、出国一年及以上等可预见的人事安排，且无主持的未结题各级各类教育教学改革研究项目。</w:t>
      </w:r>
    </w:p>
    <w:p w14:paraId="5A5FE332">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团队要求。鼓励同一课程的平行班教师共同参与，为对照研究创造条件。鼓励吸收马克思主义理论学科专业教师、教育研究、测评与数据分析人员和行业企业专家参加。</w:t>
      </w:r>
    </w:p>
    <w:p w14:paraId="7639718C">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不得重复申报。已获得国家、省部级或校级资助的同类教育教学改革项目、课程建设项目不得重复申报。教育部综合改革试点优势专业群建设试点和专项研究课题另行通知组织，不在本通知申报范围，同一改革内容不得在两类项目中重复申报。</w:t>
      </w:r>
    </w:p>
    <w:p w14:paraId="5D43856C">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4.</w:t>
      </w:r>
      <w:r>
        <w:rPr>
          <w:rFonts w:hint="eastAsia" w:asciiTheme="minorEastAsia" w:hAnsiTheme="minorEastAsia" w:eastAsiaTheme="minorEastAsia" w:cstheme="minorEastAsia"/>
          <w:kern w:val="0"/>
          <w:sz w:val="28"/>
          <w:szCs w:val="28"/>
          <w:vertAlign w:val="baseline"/>
          <w:lang w:val="en-US" w:eastAsia="zh-CN" w:bidi="ar"/>
        </w:rPr>
        <w:t>申报限额。重点项目</w:t>
      </w:r>
      <w:r>
        <w:rPr>
          <w:rFonts w:hint="eastAsia" w:asciiTheme="minorEastAsia" w:hAnsiTheme="minorEastAsia" w:cstheme="minorEastAsia"/>
          <w:kern w:val="0"/>
          <w:sz w:val="28"/>
          <w:szCs w:val="28"/>
          <w:vertAlign w:val="baseline"/>
          <w:lang w:val="en-US" w:eastAsia="zh-CN" w:bidi="ar"/>
        </w:rPr>
        <w:t>学院</w:t>
      </w:r>
      <w:r>
        <w:rPr>
          <w:rFonts w:hint="eastAsia" w:asciiTheme="minorEastAsia" w:hAnsiTheme="minorEastAsia" w:eastAsiaTheme="minorEastAsia" w:cstheme="minorEastAsia"/>
          <w:kern w:val="0"/>
          <w:sz w:val="28"/>
          <w:szCs w:val="28"/>
          <w:vertAlign w:val="baseline"/>
          <w:lang w:val="en-US" w:eastAsia="zh-CN" w:bidi="ar"/>
        </w:rPr>
        <w:t>限报3项</w:t>
      </w:r>
      <w:r>
        <w:rPr>
          <w:rFonts w:hint="eastAsia" w:asciiTheme="minorEastAsia" w:hAnsiTheme="minorEastAsia" w:cstheme="minorEastAsia"/>
          <w:kern w:val="0"/>
          <w:sz w:val="28"/>
          <w:szCs w:val="28"/>
          <w:vertAlign w:val="baseline"/>
          <w:lang w:val="en-US" w:eastAsia="zh-CN" w:bidi="ar"/>
        </w:rPr>
        <w:t>，结合教师个人申报，</w:t>
      </w:r>
      <w:r>
        <w:rPr>
          <w:rFonts w:hint="eastAsia" w:asciiTheme="minorEastAsia" w:hAnsiTheme="minorEastAsia" w:cstheme="minorEastAsia"/>
          <w:kern w:val="0"/>
          <w:sz w:val="28"/>
          <w:szCs w:val="28"/>
          <w:vertAlign w:val="baseline"/>
          <w:lang w:val="en-US" w:eastAsia="zh-CN" w:bidi="ar"/>
        </w:rPr>
        <w:t>由学院统筹为主</w:t>
      </w:r>
      <w:r>
        <w:rPr>
          <w:rFonts w:hint="eastAsia" w:asciiTheme="minorEastAsia" w:hAnsiTheme="minorEastAsia" w:eastAsiaTheme="minorEastAsia" w:cstheme="minorEastAsia"/>
          <w:kern w:val="0"/>
          <w:sz w:val="28"/>
          <w:szCs w:val="28"/>
          <w:vertAlign w:val="baseline"/>
          <w:lang w:val="en-US" w:eastAsia="zh-CN" w:bidi="ar"/>
        </w:rPr>
        <w:t>；一般项目</w:t>
      </w:r>
      <w:r>
        <w:rPr>
          <w:rFonts w:hint="eastAsia" w:asciiTheme="minorEastAsia" w:hAnsiTheme="minorEastAsia" w:cstheme="minorEastAsia"/>
          <w:kern w:val="0"/>
          <w:sz w:val="28"/>
          <w:szCs w:val="28"/>
          <w:vertAlign w:val="baseline"/>
          <w:lang w:val="en-US" w:eastAsia="zh-CN" w:bidi="ar"/>
        </w:rPr>
        <w:t>学院</w:t>
      </w:r>
      <w:r>
        <w:rPr>
          <w:rFonts w:hint="eastAsia" w:asciiTheme="minorEastAsia" w:hAnsiTheme="minorEastAsia" w:eastAsiaTheme="minorEastAsia" w:cstheme="minorEastAsia"/>
          <w:kern w:val="0"/>
          <w:sz w:val="28"/>
          <w:szCs w:val="28"/>
          <w:vertAlign w:val="baseline"/>
          <w:lang w:val="en-US" w:eastAsia="zh-CN" w:bidi="ar"/>
        </w:rPr>
        <w:t>限报8项。限额为申报限额，不是立项数。</w:t>
      </w:r>
    </w:p>
    <w:p w14:paraId="04EE6265">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5.</w:t>
      </w:r>
      <w:r>
        <w:rPr>
          <w:rFonts w:hint="eastAsia" w:asciiTheme="minorEastAsia" w:hAnsiTheme="minorEastAsia" w:eastAsiaTheme="minorEastAsia" w:cstheme="minorEastAsia"/>
          <w:kern w:val="0"/>
          <w:sz w:val="28"/>
          <w:szCs w:val="28"/>
          <w:vertAlign w:val="baseline"/>
          <w:lang w:val="en-US" w:eastAsia="zh-CN" w:bidi="ar"/>
        </w:rPr>
        <w:t>不予支持的情形。仅以引入大模型、智能体、知识图谱、平台或软件工具为主要内容，未实质改变教学目标、教学过程、学习方式或评价方式的；缺少真实教学场景和学生参与，仅开展概念性研究的；选题宽泛、主攻能力不清、没有基线和成效评价设计的。</w:t>
      </w:r>
    </w:p>
    <w:p w14:paraId="608D8EAF">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六、过程管理与支持</w:t>
      </w:r>
    </w:p>
    <w:p w14:paraId="27B80EED">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1.</w:t>
      </w:r>
      <w:r>
        <w:rPr>
          <w:rFonts w:hint="eastAsia" w:asciiTheme="minorEastAsia" w:hAnsiTheme="minorEastAsia" w:eastAsiaTheme="minorEastAsia" w:cstheme="minorEastAsia"/>
          <w:kern w:val="0"/>
          <w:sz w:val="28"/>
          <w:szCs w:val="28"/>
          <w:vertAlign w:val="baseline"/>
          <w:lang w:val="en-US" w:eastAsia="zh-CN" w:bidi="ar"/>
        </w:rPr>
        <w:t>分类管理。重点项目由教务处组织年度检查，一般项目由学院组织年度检查、教务处复核。年度检查须提交首轮课堂实录和能力测评数据，重点检查课堂变革是否真实发生、能力增值证据是否逐步形成。</w:t>
      </w:r>
    </w:p>
    <w:p w14:paraId="5E8A5E6D">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交流研讨。学校组织未来课堂观摩、教学改革工作坊、阶段性成果展示和优秀案例交流，推动项目之间协同研究和成果共享。</w:t>
      </w:r>
    </w:p>
    <w:p w14:paraId="122EDFFF">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条件支持。因学校财务制度改革，2026年立项的教改项目不设专项经费资助；教务处以年终绩效考核方式将教改项目绩效奖励划拨给学院</w:t>
      </w:r>
      <w:r>
        <w:rPr>
          <w:rFonts w:hint="eastAsia" w:asciiTheme="minorEastAsia" w:hAnsiTheme="minorEastAsia" w:cstheme="minorEastAsia"/>
          <w:kern w:val="0"/>
          <w:sz w:val="28"/>
          <w:szCs w:val="28"/>
          <w:vertAlign w:val="baseline"/>
          <w:lang w:val="en-US" w:eastAsia="zh-CN" w:bidi="ar"/>
        </w:rPr>
        <w:t>。申报校级教育教学改革项目未获得学校立项的项目，学院视情况择优立项为院级教育教学改革项目。</w:t>
      </w:r>
    </w:p>
    <w:p w14:paraId="722B38DD">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七、结题与成果要求</w:t>
      </w:r>
    </w:p>
    <w:p w14:paraId="555F542F">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（一）以证据包作为结题的主要依据。证据包包括以下五部分。</w:t>
      </w:r>
    </w:p>
    <w:p w14:paraId="3160A8B0">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1.课堂实录视频。重点项目提交不少于2个完整课例，其中应有反映改革前后或实验班与对照班差异的课例；一般项目提交不少于1个完整课例。每个项目另提交1段10分钟左右的精编视频，标注“师-生-机”互动的关键环节。</w:t>
      </w:r>
    </w:p>
    <w:p w14:paraId="7559413C">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2.能力增值数据。提交基线和后测数据、测评任务与评价量规、评分记录和分析报告，达到规定的证据等级。</w:t>
      </w:r>
    </w:p>
    <w:p w14:paraId="72F463F0">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3.学生学习成果。提交按高、中、低不同水平抽样的代表性作品、项目成果或答辩记录。</w:t>
      </w:r>
    </w:p>
    <w:p w14:paraId="23FF005B">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4.可复用成果。提交教学设计方案、学习任务单、人工智能使用规范、测评工具、教学案例或数字化资源。</w:t>
      </w:r>
    </w:p>
    <w:p w14:paraId="58A6343B">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5.研究报告。提交行动研究或准实验研究报告，如实报告有效和无效的做法。</w:t>
      </w:r>
    </w:p>
    <w:p w14:paraId="3DFB157D">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（二）</w:t>
      </w:r>
      <w:r>
        <w:rPr>
          <w:rFonts w:hint="eastAsia" w:asciiTheme="minorEastAsia" w:hAnsiTheme="minorEastAsia" w:eastAsiaTheme="minorEastAsia" w:cstheme="minorEastAsia"/>
          <w:kern w:val="0"/>
          <w:sz w:val="28"/>
          <w:szCs w:val="28"/>
          <w:vertAlign w:val="baseline"/>
          <w:lang w:val="en-US" w:eastAsia="zh-CN" w:bidi="ar"/>
        </w:rPr>
        <w:t>论文不作为结题必备条件。教学研究论文、教学案例获奖和教学成果奖培育成果等作为加分成果。鼓励在真实改革和证据基础上形成高质量研究成果。</w:t>
      </w:r>
    </w:p>
    <w:p w14:paraId="75239A3E">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（三）</w:t>
      </w:r>
      <w:r>
        <w:rPr>
          <w:rFonts w:hint="eastAsia" w:asciiTheme="minorEastAsia" w:hAnsiTheme="minorEastAsia" w:eastAsiaTheme="minorEastAsia" w:cstheme="minorEastAsia"/>
          <w:kern w:val="0"/>
          <w:sz w:val="28"/>
          <w:szCs w:val="28"/>
          <w:vertAlign w:val="baseline"/>
          <w:lang w:val="en-US" w:eastAsia="zh-CN" w:bidi="ar"/>
        </w:rPr>
        <w:t>突出分类成果。重点项目应形成可示范推广的未来课堂模式和课例，其中方向四应形成经过检验、可全校共享的测评工具；一般项目应形成可直接应用的课程教学改革案例。</w:t>
      </w:r>
    </w:p>
    <w:p w14:paraId="3C6D4B53">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（四）</w:t>
      </w:r>
      <w:r>
        <w:rPr>
          <w:rFonts w:hint="eastAsia" w:asciiTheme="minorEastAsia" w:hAnsiTheme="minorEastAsia" w:eastAsiaTheme="minorEastAsia" w:cstheme="minorEastAsia"/>
          <w:kern w:val="0"/>
          <w:sz w:val="28"/>
          <w:szCs w:val="28"/>
          <w:vertAlign w:val="baseline"/>
          <w:lang w:val="en-US" w:eastAsia="zh-CN" w:bidi="ar"/>
        </w:rPr>
        <w:t>结题评价。结题评价分为优秀、合格和不合格。没有基线测量或证据等级不达标的，不予结题。</w:t>
      </w:r>
    </w:p>
    <w:p w14:paraId="3F7F189E">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八、省级项目培育</w:t>
      </w:r>
    </w:p>
    <w:p w14:paraId="534B7347">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学校建立省级教育教学改革项目培育机制。浙江省教育厅2026年度教育教学改革项目正式通知发布后，学校原则上从2026年度申报并立项以及2025年度已立项的教改项目中择优遴选推荐，具体推荐条件、名额和程序以省教育厅正式通知为准。中期检查或结题优秀的项目，在省级及以上教改项目推荐、教学成果奖培育和课程建设中优先支持。</w:t>
      </w:r>
    </w:p>
    <w:p w14:paraId="6E389144">
      <w:pPr>
        <w:pStyle w:val="2"/>
        <w:keepNext w:val="0"/>
        <w:keepLines w:val="0"/>
        <w:widowControl/>
        <w:suppressLineNumbers w:val="0"/>
        <w:spacing w:before="75" w:beforeAutospacing="0" w:after="75" w:afterAutospacing="0" w:line="360" w:lineRule="auto"/>
        <w:ind w:left="0" w:right="0" w:firstLine="645"/>
        <w:rPr>
          <w:rFonts w:hint="eastAsia" w:asciiTheme="minorEastAsia" w:hAnsiTheme="minorEastAsia" w:eastAsiaTheme="minorEastAsia" w:cstheme="minorEastAsia"/>
          <w:b w:val="0"/>
          <w:bCs w:val="0"/>
          <w:sz w:val="28"/>
          <w:szCs w:val="28"/>
        </w:rPr>
      </w:pPr>
      <w:r>
        <w:rPr>
          <w:rStyle w:val="5"/>
          <w:rFonts w:hint="eastAsia" w:asciiTheme="minorEastAsia" w:hAnsiTheme="minorEastAsia" w:eastAsiaTheme="minorEastAsia" w:cstheme="minorEastAsia"/>
          <w:b/>
          <w:sz w:val="28"/>
          <w:szCs w:val="28"/>
          <w:vertAlign w:val="baseline"/>
        </w:rPr>
        <w:t>九、申报流程</w:t>
      </w:r>
    </w:p>
    <w:p w14:paraId="514B7F26">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1.</w:t>
      </w:r>
      <w:r>
        <w:rPr>
          <w:rFonts w:hint="eastAsia" w:asciiTheme="minorEastAsia" w:hAnsiTheme="minorEastAsia" w:eastAsiaTheme="minorEastAsia" w:cstheme="minorEastAsia"/>
          <w:kern w:val="0"/>
          <w:sz w:val="28"/>
          <w:szCs w:val="28"/>
          <w:vertAlign w:val="baseline"/>
          <w:lang w:val="en-US" w:eastAsia="zh-CN" w:bidi="ar"/>
        </w:rPr>
        <w:t>学院组织申报、论证和排序推荐。重点项目须经学院教学工作委员会或相应机构专项论证，重点论证主攻能力是否明确、课堂变革是否真实、研究设计是否可行。学院以校级重点项目为载体和基础，申请省级及以上教学改革研究项目，并依托重点项目申报校级及以上教学成果奖励。</w:t>
      </w:r>
    </w:p>
    <w:p w14:paraId="69E0A4A8">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2.</w:t>
      </w:r>
      <w:r>
        <w:rPr>
          <w:rFonts w:hint="eastAsia" w:asciiTheme="minorEastAsia" w:hAnsiTheme="minorEastAsia" w:eastAsiaTheme="minorEastAsia" w:cstheme="minorEastAsia"/>
          <w:kern w:val="0"/>
          <w:sz w:val="28"/>
          <w:szCs w:val="28"/>
          <w:vertAlign w:val="baseline"/>
          <w:lang w:val="en-US" w:eastAsia="zh-CN" w:bidi="ar"/>
        </w:rPr>
        <w:t>提交申报材料。</w:t>
      </w:r>
      <w:r>
        <w:rPr>
          <w:rFonts w:hint="eastAsia" w:asciiTheme="minorEastAsia" w:hAnsiTheme="minorEastAsia" w:cstheme="minorEastAsia"/>
          <w:kern w:val="0"/>
          <w:sz w:val="28"/>
          <w:szCs w:val="28"/>
          <w:vertAlign w:val="baseline"/>
          <w:lang w:val="en-US" w:eastAsia="zh-CN" w:bidi="ar"/>
        </w:rPr>
        <w:t>项目申报人填写</w:t>
      </w:r>
      <w:r>
        <w:rPr>
          <w:rFonts w:hint="eastAsia" w:asciiTheme="minorEastAsia" w:hAnsiTheme="minorEastAsia" w:eastAsiaTheme="minorEastAsia" w:cstheme="minorEastAsia"/>
          <w:kern w:val="0"/>
          <w:sz w:val="28"/>
          <w:szCs w:val="28"/>
          <w:vertAlign w:val="baseline"/>
          <w:lang w:val="en-US" w:eastAsia="zh-CN" w:bidi="ar"/>
        </w:rPr>
        <w:t>《教育教学改革研究项目申请书》（附件2）Word版</w:t>
      </w:r>
      <w:r>
        <w:rPr>
          <w:rFonts w:hint="eastAsia" w:asciiTheme="minorEastAsia" w:hAnsiTheme="minorEastAsia" w:cstheme="minorEastAsia"/>
          <w:kern w:val="0"/>
          <w:sz w:val="28"/>
          <w:szCs w:val="28"/>
          <w:vertAlign w:val="baseline"/>
          <w:lang w:val="en-US" w:eastAsia="zh-CN" w:bidi="ar"/>
        </w:rPr>
        <w:t>、</w:t>
      </w:r>
      <w:r>
        <w:rPr>
          <w:rFonts w:hint="eastAsia" w:asciiTheme="minorEastAsia" w:hAnsiTheme="minorEastAsia" w:eastAsiaTheme="minorEastAsia" w:cstheme="minorEastAsia"/>
          <w:kern w:val="0"/>
          <w:sz w:val="28"/>
          <w:szCs w:val="28"/>
          <w:vertAlign w:val="baseline"/>
          <w:lang w:val="en-US" w:eastAsia="zh-CN" w:bidi="ar"/>
        </w:rPr>
        <w:t>《教育教学改革研究项目申报汇总表》（附件3）Excel版</w:t>
      </w:r>
      <w:r>
        <w:rPr>
          <w:rFonts w:hint="eastAsia" w:asciiTheme="minorEastAsia" w:hAnsiTheme="minorEastAsia" w:cstheme="minorEastAsia"/>
          <w:kern w:val="0"/>
          <w:sz w:val="28"/>
          <w:szCs w:val="28"/>
          <w:vertAlign w:val="baseline"/>
          <w:lang w:val="en-US" w:eastAsia="zh-CN" w:bidi="ar"/>
        </w:rPr>
        <w:t>，于2</w:t>
      </w:r>
      <w:r>
        <w:rPr>
          <w:rFonts w:hint="eastAsia" w:asciiTheme="minorEastAsia" w:hAnsiTheme="minorEastAsia" w:eastAsiaTheme="minorEastAsia" w:cstheme="minorEastAsia"/>
          <w:kern w:val="0"/>
          <w:sz w:val="28"/>
          <w:szCs w:val="28"/>
          <w:vertAlign w:val="baseline"/>
          <w:lang w:val="en-US" w:eastAsia="zh-CN" w:bidi="ar"/>
        </w:rPr>
        <w:t>026年10月</w:t>
      </w:r>
      <w:r>
        <w:rPr>
          <w:rFonts w:hint="eastAsia" w:asciiTheme="minorEastAsia" w:hAnsiTheme="minorEastAsia" w:cstheme="minorEastAsia"/>
          <w:kern w:val="0"/>
          <w:sz w:val="28"/>
          <w:szCs w:val="28"/>
          <w:vertAlign w:val="baseline"/>
          <w:lang w:val="en-US" w:eastAsia="zh-CN" w:bidi="ar"/>
        </w:rPr>
        <w:t>5日前发送至邮箱lulinyu@zjut.edu.cn，</w:t>
      </w:r>
      <w:r>
        <w:rPr>
          <w:rFonts w:hint="eastAsia" w:asciiTheme="minorEastAsia" w:hAnsiTheme="minorEastAsia" w:eastAsiaTheme="minorEastAsia" w:cstheme="minorEastAsia"/>
          <w:kern w:val="0"/>
          <w:sz w:val="28"/>
          <w:szCs w:val="28"/>
          <w:vertAlign w:val="baseline"/>
          <w:lang w:val="en-US" w:eastAsia="zh-CN" w:bidi="ar"/>
        </w:rPr>
        <w:t>学院对申报项目汇总、</w:t>
      </w:r>
      <w:r>
        <w:rPr>
          <w:rFonts w:hint="eastAsia" w:asciiTheme="minorEastAsia" w:hAnsiTheme="minorEastAsia" w:cstheme="minorEastAsia"/>
          <w:kern w:val="0"/>
          <w:sz w:val="28"/>
          <w:szCs w:val="28"/>
          <w:vertAlign w:val="baseline"/>
          <w:lang w:val="en-US" w:eastAsia="zh-CN" w:bidi="ar"/>
        </w:rPr>
        <w:t>评审</w:t>
      </w:r>
      <w:bookmarkStart w:id="0" w:name="_GoBack"/>
      <w:bookmarkEnd w:id="0"/>
      <w:r>
        <w:rPr>
          <w:rFonts w:hint="eastAsia" w:asciiTheme="minorEastAsia" w:hAnsiTheme="minorEastAsia" w:eastAsiaTheme="minorEastAsia" w:cstheme="minorEastAsia"/>
          <w:kern w:val="0"/>
          <w:sz w:val="28"/>
          <w:szCs w:val="28"/>
          <w:vertAlign w:val="baseline"/>
          <w:lang w:val="en-US" w:eastAsia="zh-CN" w:bidi="ar"/>
        </w:rPr>
        <w:t>排序</w:t>
      </w:r>
      <w:r>
        <w:rPr>
          <w:rFonts w:hint="eastAsia" w:asciiTheme="minorEastAsia" w:hAnsiTheme="minorEastAsia" w:cstheme="minorEastAsia"/>
          <w:kern w:val="0"/>
          <w:sz w:val="28"/>
          <w:szCs w:val="28"/>
          <w:vertAlign w:val="baseline"/>
          <w:lang w:val="en-US" w:eastAsia="zh-CN" w:bidi="ar"/>
        </w:rPr>
        <w:t>后上报教务处</w:t>
      </w:r>
      <w:r>
        <w:rPr>
          <w:rFonts w:hint="eastAsia" w:asciiTheme="minorEastAsia" w:hAnsiTheme="minorEastAsia" w:eastAsiaTheme="minorEastAsia" w:cstheme="minorEastAsia"/>
          <w:kern w:val="0"/>
          <w:sz w:val="28"/>
          <w:szCs w:val="28"/>
          <w:vertAlign w:val="baseline"/>
          <w:lang w:val="en-US" w:eastAsia="zh-CN" w:bidi="ar"/>
        </w:rPr>
        <w:t>。</w:t>
      </w:r>
    </w:p>
    <w:p w14:paraId="5EFFE202">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lang w:val="en-US" w:eastAsia="zh-CN" w:bidi="ar"/>
        </w:rPr>
        <w:t>3.</w:t>
      </w:r>
      <w:r>
        <w:rPr>
          <w:rFonts w:hint="eastAsia" w:asciiTheme="minorEastAsia" w:hAnsiTheme="minorEastAsia" w:eastAsiaTheme="minorEastAsia" w:cstheme="minorEastAsia"/>
          <w:kern w:val="0"/>
          <w:sz w:val="28"/>
          <w:szCs w:val="28"/>
          <w:vertAlign w:val="baseline"/>
          <w:lang w:val="en-US" w:eastAsia="zh-CN" w:bidi="ar"/>
        </w:rPr>
        <w:t>学校评审立项。教务处组织专家评审，评审标准见《选题指南》，经相关程序后发文确定立项名单。</w:t>
      </w:r>
    </w:p>
    <w:p w14:paraId="4ACEC35D">
      <w:pPr>
        <w:keepNext w:val="0"/>
        <w:keepLines w:val="0"/>
        <w:widowControl/>
        <w:suppressLineNumbers w:val="0"/>
        <w:spacing w:before="75" w:beforeAutospacing="0" w:after="75" w:afterAutospacing="0" w:line="360" w:lineRule="auto"/>
        <w:ind w:left="0" w:right="0" w:firstLine="645"/>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vertAlign w:val="baseline"/>
          <w:lang w:val="en-US" w:eastAsia="zh-CN" w:bidi="ar"/>
        </w:rPr>
        <w:t>申报联系人：</w:t>
      </w:r>
      <w:r>
        <w:rPr>
          <w:rFonts w:hint="eastAsia" w:asciiTheme="minorEastAsia" w:hAnsiTheme="minorEastAsia" w:cstheme="minorEastAsia"/>
          <w:kern w:val="0"/>
          <w:sz w:val="28"/>
          <w:szCs w:val="28"/>
          <w:vertAlign w:val="baseline"/>
          <w:lang w:val="en-US" w:eastAsia="zh-CN" w:bidi="ar"/>
        </w:rPr>
        <w:t>陆林雨</w:t>
      </w:r>
      <w:r>
        <w:rPr>
          <w:rFonts w:hint="eastAsia" w:asciiTheme="minorEastAsia" w:hAnsiTheme="minorEastAsia" w:eastAsiaTheme="minorEastAsia" w:cstheme="minorEastAsia"/>
          <w:kern w:val="0"/>
          <w:sz w:val="28"/>
          <w:szCs w:val="28"/>
          <w:vertAlign w:val="baseline"/>
          <w:lang w:val="en-US" w:eastAsia="zh-CN" w:bidi="ar"/>
        </w:rPr>
        <w:t>，电话：</w:t>
      </w:r>
      <w:r>
        <w:rPr>
          <w:rFonts w:hint="eastAsia" w:asciiTheme="minorEastAsia" w:hAnsiTheme="minorEastAsia" w:cstheme="minorEastAsia"/>
          <w:kern w:val="0"/>
          <w:sz w:val="28"/>
          <w:szCs w:val="28"/>
          <w:vertAlign w:val="baseline"/>
          <w:lang w:val="en-US" w:eastAsia="zh-CN" w:bidi="ar"/>
        </w:rPr>
        <w:t>88813663</w:t>
      </w:r>
      <w:r>
        <w:rPr>
          <w:rFonts w:hint="eastAsia" w:asciiTheme="minorEastAsia" w:hAnsiTheme="minorEastAsia" w:eastAsiaTheme="minorEastAsia" w:cstheme="minorEastAsia"/>
          <w:kern w:val="0"/>
          <w:sz w:val="28"/>
          <w:szCs w:val="28"/>
          <w:vertAlign w:val="baseline"/>
          <w:lang w:val="en-US" w:eastAsia="zh-CN" w:bidi="ar"/>
        </w:rPr>
        <w:t>，地址：</w:t>
      </w:r>
      <w:r>
        <w:rPr>
          <w:rFonts w:hint="eastAsia" w:asciiTheme="minorEastAsia" w:hAnsiTheme="minorEastAsia" w:cstheme="minorEastAsia"/>
          <w:kern w:val="0"/>
          <w:sz w:val="28"/>
          <w:szCs w:val="28"/>
          <w:vertAlign w:val="baseline"/>
          <w:lang w:val="en-US" w:eastAsia="zh-CN" w:bidi="ar"/>
        </w:rPr>
        <w:t>材料楼C309</w:t>
      </w:r>
      <w:r>
        <w:rPr>
          <w:rFonts w:hint="eastAsia" w:asciiTheme="minorEastAsia" w:hAnsiTheme="minorEastAsia" w:eastAsiaTheme="minorEastAsia" w:cstheme="minorEastAsia"/>
          <w:kern w:val="0"/>
          <w:sz w:val="28"/>
          <w:szCs w:val="28"/>
          <w:vertAlign w:val="baseline"/>
          <w:lang w:val="en-US" w:eastAsia="zh-CN" w:bidi="ar"/>
        </w:rPr>
        <w:t>。</w:t>
      </w:r>
    </w:p>
    <w:p w14:paraId="7DAB1F4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4E350F"/>
    <w:rsid w:val="40957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967</Words>
  <Characters>980</Characters>
  <Lines>0</Lines>
  <Paragraphs>0</Paragraphs>
  <TotalTime>15</TotalTime>
  <ScaleCrop>false</ScaleCrop>
  <LinksUpToDate>false</LinksUpToDate>
  <CharactersWithSpaces>982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2026-09-23T08:02:00Z</dcterms:created>
  <dc:creator>Administrator</dc:creator>
  <cp:lastModifiedBy>陆林雨</cp:lastModifiedBy>
  <dcterms:modified xsi:type="dcterms:W3CDTF">2026-09-24T08:11:27Z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eyJoZGlkIjoiYjRjYWJiYmY1M2Y1M2UyZWM2ZGU5MWI2Nzk3ZTFhN2IiLCJ1c2VySWQiOiIxNjAyNDUwMTEyIn0=</vt:lpwstr>
  </property>
  <property fmtid="{D5CDD505-2E9C-101B-9397-08002B2CF9AE}" pid="4" name="ICV">
    <vt:lpwstr>F5890FA731774D43A46526DADCA7AD59_12</vt:lpwstr>
  </property>
</Properties>
</file>