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DDB85">
      <w:pPr>
        <w:pageBreakBefore/>
        <w:spacing w:before="0" w:after="0" w:line="560" w:lineRule="exact"/>
        <w:ind w:left="0" w:firstLine="0"/>
        <w:jc w:val="left"/>
      </w:pPr>
      <w:r>
        <w:rPr>
          <w:rFonts w:ascii="Times New Roman" w:hAnsi="Times New Roman" w:eastAsia="黑体"/>
          <w:b w:val="0"/>
          <w:color w:val="000000"/>
          <w:sz w:val="32"/>
        </w:rPr>
        <w:t>附件1</w:t>
      </w:r>
    </w:p>
    <w:p w14:paraId="648558AB">
      <w:pPr>
        <w:spacing w:before="0" w:after="0" w:line="680" w:lineRule="exact"/>
        <w:ind w:left="0" w:firstLine="0"/>
        <w:jc w:val="center"/>
        <w:rPr>
          <w:rFonts w:hint="eastAsia" w:ascii="Times New Roman" w:hAnsi="Times New Roman" w:eastAsia="方正小标宋简体" w:cs="方正小标宋简体"/>
          <w:b/>
          <w:color w:val="000000"/>
          <w:sz w:val="44"/>
        </w:rPr>
      </w:pPr>
    </w:p>
    <w:p w14:paraId="32D31A7B">
      <w:pPr>
        <w:spacing w:before="0" w:after="0" w:line="680" w:lineRule="exact"/>
        <w:ind w:left="0" w:firstLine="0"/>
        <w:jc w:val="center"/>
        <w:rPr>
          <w:rFonts w:hint="eastAsia" w:ascii="Times New Roman" w:hAnsi="Times New Roman" w:eastAsia="方正小标宋简体" w:cs="方正小标宋简体"/>
        </w:rPr>
      </w:pPr>
      <w:r>
        <w:rPr>
          <w:rFonts w:hint="eastAsia" w:ascii="Times New Roman" w:hAnsi="Times New Roman" w:eastAsia="方正小标宋简体" w:cs="方正小标宋简体"/>
          <w:b/>
          <w:color w:val="000000"/>
          <w:sz w:val="44"/>
        </w:rPr>
        <w:t>2026年度教育教学改革研究项目选题指南</w:t>
      </w:r>
    </w:p>
    <w:p w14:paraId="70B3ACA9">
      <w:pPr>
        <w:spacing w:before="0" w:after="0" w:line="560" w:lineRule="exact"/>
        <w:ind w:left="0" w:firstLine="0"/>
        <w:jc w:val="both"/>
      </w:pPr>
    </w:p>
    <w:p w14:paraId="1A41BBEF">
      <w:pPr>
        <w:pStyle w:val="3"/>
      </w:pPr>
      <w:r>
        <w:rPr>
          <w:rFonts w:ascii="Times New Roman" w:hAnsi="Times New Roman" w:eastAsia="黑体"/>
          <w:b w:val="0"/>
          <w:color w:val="000000"/>
          <w:sz w:val="32"/>
        </w:rPr>
        <w:t>一、总体导向</w:t>
      </w:r>
    </w:p>
    <w:p w14:paraId="199727B2">
      <w:pPr>
        <w:spacing w:before="0" w:after="0" w:line="560" w:lineRule="exact"/>
        <w:ind w:left="0" w:firstLine="640"/>
        <w:jc w:val="both"/>
      </w:pPr>
      <w:r>
        <w:rPr>
          <w:rFonts w:ascii="Times New Roman" w:hAnsi="Times New Roman" w:eastAsia="仿宋"/>
          <w:b w:val="0"/>
          <w:color w:val="000000"/>
          <w:sz w:val="32"/>
        </w:rPr>
        <w:t>本指南面向人工智能时代本科人才培养的新要求，以学生能力的发展和增值为主线，以</w:t>
      </w:r>
      <w:r>
        <w:rPr>
          <w:rFonts w:hint="eastAsia"/>
          <w:b w:val="0"/>
          <w:color w:val="000000"/>
          <w:sz w:val="32"/>
          <w:lang w:eastAsia="zh-CN"/>
        </w:rPr>
        <w:t>“</w:t>
      </w:r>
      <w:r>
        <w:rPr>
          <w:rFonts w:ascii="Times New Roman" w:hAnsi="Times New Roman" w:eastAsia="仿宋"/>
          <w:b w:val="0"/>
          <w:color w:val="000000"/>
          <w:sz w:val="32"/>
        </w:rPr>
        <w:t>师</w:t>
      </w:r>
      <w:r>
        <w:rPr>
          <w:rFonts w:hint="eastAsia"/>
          <w:b w:val="0"/>
          <w:color w:val="000000"/>
          <w:sz w:val="32"/>
          <w:lang w:val="en-US" w:eastAsia="zh-CN"/>
        </w:rPr>
        <w:t>-</w:t>
      </w:r>
      <w:r>
        <w:rPr>
          <w:rFonts w:ascii="Times New Roman" w:hAnsi="Times New Roman" w:eastAsia="仿宋"/>
          <w:b w:val="0"/>
          <w:color w:val="000000"/>
          <w:sz w:val="32"/>
        </w:rPr>
        <w:t>生</w:t>
      </w:r>
      <w:r>
        <w:rPr>
          <w:rFonts w:hint="eastAsia"/>
          <w:b w:val="0"/>
          <w:color w:val="000000"/>
          <w:sz w:val="32"/>
          <w:lang w:val="en-US" w:eastAsia="zh-CN"/>
        </w:rPr>
        <w:t>-</w:t>
      </w:r>
      <w:r>
        <w:rPr>
          <w:rFonts w:ascii="Times New Roman" w:hAnsi="Times New Roman" w:eastAsia="仿宋"/>
          <w:b w:val="0"/>
          <w:color w:val="000000"/>
          <w:sz w:val="32"/>
        </w:rPr>
        <w:t>机</w:t>
      </w:r>
      <w:r>
        <w:rPr>
          <w:rFonts w:hint="eastAsia"/>
          <w:b w:val="0"/>
          <w:color w:val="000000"/>
          <w:sz w:val="32"/>
          <w:lang w:eastAsia="zh-CN"/>
        </w:rPr>
        <w:t>”</w:t>
      </w:r>
      <w:r>
        <w:rPr>
          <w:rFonts w:ascii="Times New Roman" w:hAnsi="Times New Roman" w:eastAsia="仿宋"/>
          <w:b w:val="0"/>
          <w:color w:val="000000"/>
          <w:sz w:val="32"/>
        </w:rPr>
        <w:t>三元协同的课堂变革为导向，以行动研究和准实验研究为方法，引导教学改革进入真实课堂、形成实证证据。项目选题应从教学中的真实问题和学生能力短板出发，不以技术本身作为改革目标。</w:t>
      </w:r>
    </w:p>
    <w:p w14:paraId="77D1B0F5">
      <w:pPr>
        <w:spacing w:before="0" w:after="0" w:line="560" w:lineRule="exact"/>
        <w:ind w:left="0" w:firstLine="640"/>
        <w:jc w:val="both"/>
      </w:pPr>
      <w:r>
        <w:rPr>
          <w:rFonts w:ascii="Times New Roman" w:hAnsi="Times New Roman" w:eastAsia="仿宋"/>
          <w:b w:val="0"/>
          <w:color w:val="000000"/>
          <w:sz w:val="32"/>
        </w:rPr>
        <w:t>项目设计应形成</w:t>
      </w:r>
      <w:r>
        <w:rPr>
          <w:rFonts w:hint="eastAsia"/>
          <w:b w:val="0"/>
          <w:color w:val="000000"/>
          <w:sz w:val="32"/>
          <w:lang w:eastAsia="zh-CN"/>
        </w:rPr>
        <w:t>“</w:t>
      </w:r>
      <w:r>
        <w:rPr>
          <w:rFonts w:ascii="Times New Roman" w:hAnsi="Times New Roman" w:eastAsia="仿宋"/>
          <w:b w:val="0"/>
          <w:color w:val="000000"/>
          <w:sz w:val="32"/>
        </w:rPr>
        <w:t>问题</w:t>
      </w:r>
      <w:r>
        <w:rPr>
          <w:rFonts w:hint="eastAsia"/>
          <w:b w:val="0"/>
          <w:color w:val="000000"/>
          <w:sz w:val="32"/>
          <w:lang w:val="en-US" w:eastAsia="zh-CN"/>
        </w:rPr>
        <w:t>-</w:t>
      </w:r>
      <w:r>
        <w:rPr>
          <w:rFonts w:ascii="Times New Roman" w:hAnsi="Times New Roman" w:eastAsia="仿宋"/>
          <w:b w:val="0"/>
          <w:color w:val="000000"/>
          <w:sz w:val="32"/>
        </w:rPr>
        <w:t>能力</w:t>
      </w:r>
      <w:r>
        <w:rPr>
          <w:rFonts w:hint="eastAsia"/>
          <w:b w:val="0"/>
          <w:color w:val="000000"/>
          <w:sz w:val="32"/>
          <w:lang w:val="en-US" w:eastAsia="zh-CN"/>
        </w:rPr>
        <w:t>-</w:t>
      </w:r>
      <w:r>
        <w:rPr>
          <w:rFonts w:ascii="Times New Roman" w:hAnsi="Times New Roman" w:eastAsia="仿宋"/>
          <w:b w:val="0"/>
          <w:color w:val="000000"/>
          <w:sz w:val="32"/>
        </w:rPr>
        <w:t>课堂</w:t>
      </w:r>
      <w:r>
        <w:rPr>
          <w:rFonts w:hint="eastAsia"/>
          <w:b w:val="0"/>
          <w:color w:val="000000"/>
          <w:sz w:val="32"/>
          <w:lang w:val="en-US" w:eastAsia="zh-CN"/>
        </w:rPr>
        <w:t>-</w:t>
      </w:r>
      <w:r>
        <w:rPr>
          <w:rFonts w:ascii="Times New Roman" w:hAnsi="Times New Roman" w:eastAsia="仿宋"/>
          <w:b w:val="0"/>
          <w:color w:val="000000"/>
          <w:sz w:val="32"/>
        </w:rPr>
        <w:t>证据</w:t>
      </w:r>
      <w:r>
        <w:rPr>
          <w:rFonts w:hint="eastAsia"/>
          <w:b w:val="0"/>
          <w:color w:val="000000"/>
          <w:sz w:val="32"/>
          <w:lang w:eastAsia="zh-CN"/>
        </w:rPr>
        <w:t>”</w:t>
      </w:r>
      <w:r>
        <w:rPr>
          <w:rFonts w:ascii="Times New Roman" w:hAnsi="Times New Roman" w:eastAsia="仿宋"/>
          <w:b w:val="0"/>
          <w:color w:val="000000"/>
          <w:sz w:val="32"/>
        </w:rPr>
        <w:t>闭环，回答以下六个问题：面向哪些课程和学生，最突出的教学问题是什么；主攻哪几项能力，改革前处于什么水平、预期达到什么水平；课堂中教师、学生和人工智能各自做什么，与改革前有什么不同；采用什么研究设计，如何设置对照和前后测；用什么视频、数据和学习成果证明学生能力真正得到提升；最终形成哪些可复制、可共享的课堂模式、测评工具和案例。</w:t>
      </w:r>
    </w:p>
    <w:p w14:paraId="3E0A9531">
      <w:pPr>
        <w:pStyle w:val="3"/>
      </w:pPr>
      <w:r>
        <w:rPr>
          <w:rFonts w:ascii="Times New Roman" w:hAnsi="Times New Roman" w:eastAsia="黑体"/>
          <w:b w:val="0"/>
          <w:color w:val="000000"/>
          <w:sz w:val="32"/>
        </w:rPr>
        <w:t>二、能力框架及其证据</w:t>
      </w:r>
    </w:p>
    <w:p w14:paraId="3ACB6DD2">
      <w:pPr>
        <w:spacing w:before="0" w:after="0" w:line="560" w:lineRule="exact"/>
        <w:ind w:left="0" w:firstLine="640"/>
        <w:jc w:val="both"/>
      </w:pPr>
      <w:r>
        <w:rPr>
          <w:rFonts w:ascii="Times New Roman" w:hAnsi="Times New Roman" w:eastAsia="仿宋"/>
          <w:b w:val="0"/>
          <w:color w:val="000000"/>
          <w:sz w:val="32"/>
        </w:rPr>
        <w:t>下表给出各项能力的可观察表现和典型证据，供项目确定主攻能力、设计测评任务时参考。项目可以在此基础上结合学科特点细化表现指标。</w:t>
      </w:r>
    </w:p>
    <w:p w14:paraId="7599221A">
      <w:pPr>
        <w:keepNext/>
        <w:spacing w:before="120" w:after="60" w:line="480" w:lineRule="exact"/>
        <w:ind w:left="0" w:firstLine="0"/>
        <w:jc w:val="center"/>
      </w:pPr>
      <w:r>
        <w:rPr>
          <w:rFonts w:ascii="Times New Roman" w:hAnsi="Times New Roman" w:eastAsia="黑体"/>
          <w:b w:val="0"/>
          <w:color w:val="000000"/>
          <w:sz w:val="24"/>
        </w:rPr>
        <w:t>各项能力的可观察表现与典型证据</w:t>
      </w:r>
    </w:p>
    <w:tbl>
      <w:tblPr>
        <w:tblStyle w:val="32"/>
        <w:tblW w:w="88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28"/>
        <w:gridCol w:w="3402"/>
        <w:gridCol w:w="3515"/>
      </w:tblGrid>
      <w:tr w14:paraId="246B8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928" w:type="dxa"/>
            <w:vAlign w:val="center"/>
          </w:tcPr>
          <w:p w14:paraId="338B4C1A">
            <w:pPr>
              <w:spacing w:before="20" w:after="20" w:line="320" w:lineRule="exact"/>
              <w:ind w:firstLine="0"/>
              <w:jc w:val="center"/>
            </w:pPr>
            <w:r>
              <w:rPr>
                <w:rFonts w:ascii="Times New Roman" w:hAnsi="Times New Roman" w:eastAsia="黑体"/>
                <w:b w:val="0"/>
                <w:color w:val="000000"/>
                <w:sz w:val="21"/>
              </w:rPr>
              <w:t>能力</w:t>
            </w:r>
          </w:p>
        </w:tc>
        <w:tc>
          <w:tcPr>
            <w:tcW w:w="3402" w:type="dxa"/>
            <w:vAlign w:val="center"/>
          </w:tcPr>
          <w:p w14:paraId="1CD20CCE">
            <w:pPr>
              <w:spacing w:before="20" w:after="20" w:line="320" w:lineRule="exact"/>
              <w:ind w:firstLine="0"/>
              <w:jc w:val="center"/>
            </w:pPr>
            <w:r>
              <w:rPr>
                <w:rFonts w:ascii="Times New Roman" w:hAnsi="Times New Roman" w:eastAsia="黑体"/>
                <w:b w:val="0"/>
                <w:color w:val="000000"/>
                <w:sz w:val="21"/>
              </w:rPr>
              <w:t>可观察表现</w:t>
            </w:r>
          </w:p>
        </w:tc>
        <w:tc>
          <w:tcPr>
            <w:tcW w:w="3515" w:type="dxa"/>
            <w:vAlign w:val="center"/>
          </w:tcPr>
          <w:p w14:paraId="53B6BCBF">
            <w:pPr>
              <w:spacing w:before="20" w:after="20" w:line="320" w:lineRule="exact"/>
              <w:ind w:firstLine="0"/>
              <w:jc w:val="center"/>
            </w:pPr>
            <w:r>
              <w:rPr>
                <w:rFonts w:ascii="Times New Roman" w:hAnsi="Times New Roman" w:eastAsia="黑体"/>
                <w:b w:val="0"/>
                <w:color w:val="000000"/>
                <w:sz w:val="21"/>
              </w:rPr>
              <w:t>典型证据与测评方式</w:t>
            </w:r>
          </w:p>
        </w:tc>
      </w:tr>
      <w:tr w14:paraId="1AFF7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8" w:type="dxa"/>
            <w:vAlign w:val="center"/>
          </w:tcPr>
          <w:p w14:paraId="0C0898EF">
            <w:pPr>
              <w:spacing w:before="20" w:after="20" w:line="320" w:lineRule="exact"/>
              <w:ind w:firstLine="0"/>
              <w:jc w:val="left"/>
            </w:pPr>
            <w:r>
              <w:rPr>
                <w:rFonts w:ascii="Times New Roman" w:hAnsi="Times New Roman" w:eastAsia="仿宋"/>
                <w:b w:val="0"/>
                <w:color w:val="000000"/>
                <w:sz w:val="21"/>
              </w:rPr>
              <w:t>1.复杂问题发现与定义</w:t>
            </w:r>
          </w:p>
        </w:tc>
        <w:tc>
          <w:tcPr>
            <w:tcW w:w="3402" w:type="dxa"/>
            <w:vAlign w:val="center"/>
          </w:tcPr>
          <w:p w14:paraId="2BB8F080">
            <w:pPr>
              <w:spacing w:before="20" w:after="20" w:line="320" w:lineRule="exact"/>
              <w:ind w:firstLine="0"/>
              <w:jc w:val="left"/>
            </w:pPr>
            <w:r>
              <w:rPr>
                <w:rFonts w:ascii="Times New Roman" w:hAnsi="Times New Roman" w:eastAsia="仿宋"/>
                <w:b w:val="0"/>
                <w:color w:val="000000"/>
                <w:sz w:val="21"/>
              </w:rPr>
              <w:t>能提出高质量问题；问题陈述包含目标、约束和评价标准；能把复杂问题分解为可处理的子问题</w:t>
            </w:r>
          </w:p>
        </w:tc>
        <w:tc>
          <w:tcPr>
            <w:tcW w:w="3515" w:type="dxa"/>
            <w:vAlign w:val="center"/>
          </w:tcPr>
          <w:p w14:paraId="098BE444">
            <w:pPr>
              <w:spacing w:before="20" w:after="20" w:line="320" w:lineRule="exact"/>
              <w:ind w:firstLine="0"/>
              <w:jc w:val="left"/>
            </w:pPr>
            <w:r>
              <w:rPr>
                <w:rFonts w:ascii="Times New Roman" w:hAnsi="Times New Roman" w:eastAsia="仿宋"/>
                <w:b w:val="0"/>
                <w:color w:val="000000"/>
                <w:sz w:val="21"/>
              </w:rPr>
              <w:t>问题定义书和开题答辩；问题质量量规评分；开放情境下的问题提出任务</w:t>
            </w:r>
          </w:p>
        </w:tc>
      </w:tr>
      <w:tr w14:paraId="5932F3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8" w:type="dxa"/>
            <w:vAlign w:val="center"/>
          </w:tcPr>
          <w:p w14:paraId="0E89FA19">
            <w:pPr>
              <w:spacing w:before="20" w:after="20" w:line="320" w:lineRule="exact"/>
              <w:ind w:firstLine="0"/>
              <w:jc w:val="left"/>
            </w:pPr>
            <w:r>
              <w:rPr>
                <w:rFonts w:ascii="Times New Roman" w:hAnsi="Times New Roman" w:eastAsia="仿宋"/>
                <w:b w:val="0"/>
                <w:color w:val="000000"/>
                <w:sz w:val="21"/>
              </w:rPr>
              <w:t>2.跨学科知识整合</w:t>
            </w:r>
          </w:p>
        </w:tc>
        <w:tc>
          <w:tcPr>
            <w:tcW w:w="3402" w:type="dxa"/>
            <w:vAlign w:val="center"/>
          </w:tcPr>
          <w:p w14:paraId="04F6D855">
            <w:pPr>
              <w:spacing w:before="20" w:after="20" w:line="320" w:lineRule="exact"/>
              <w:ind w:firstLine="0"/>
              <w:jc w:val="left"/>
            </w:pPr>
            <w:r>
              <w:rPr>
                <w:rFonts w:ascii="Times New Roman" w:hAnsi="Times New Roman" w:eastAsia="仿宋"/>
                <w:b w:val="0"/>
                <w:color w:val="000000"/>
                <w:sz w:val="21"/>
              </w:rPr>
              <w:t>能建立多学科概念之间的联系；方案中合理组合多学科方法；能把方法迁移到新情境</w:t>
            </w:r>
          </w:p>
        </w:tc>
        <w:tc>
          <w:tcPr>
            <w:tcW w:w="3515" w:type="dxa"/>
            <w:vAlign w:val="center"/>
          </w:tcPr>
          <w:p w14:paraId="4EA2FFEB">
            <w:pPr>
              <w:spacing w:before="20" w:after="20" w:line="320" w:lineRule="exact"/>
              <w:ind w:firstLine="0"/>
              <w:jc w:val="left"/>
            </w:pPr>
            <w:r>
              <w:rPr>
                <w:rFonts w:ascii="Times New Roman" w:hAnsi="Times New Roman" w:eastAsia="仿宋"/>
                <w:b w:val="0"/>
                <w:color w:val="000000"/>
                <w:sz w:val="21"/>
              </w:rPr>
              <w:t>概念图或知识网络评分；迁移任务；综合性项目报告</w:t>
            </w:r>
          </w:p>
        </w:tc>
      </w:tr>
      <w:tr w14:paraId="10DEB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8" w:type="dxa"/>
            <w:vAlign w:val="center"/>
          </w:tcPr>
          <w:p w14:paraId="56EEF838">
            <w:pPr>
              <w:spacing w:before="20" w:after="20" w:line="320" w:lineRule="exact"/>
              <w:ind w:firstLine="0"/>
              <w:jc w:val="left"/>
            </w:pPr>
            <w:r>
              <w:rPr>
                <w:rFonts w:ascii="Times New Roman" w:hAnsi="Times New Roman" w:eastAsia="仿宋"/>
                <w:b w:val="0"/>
                <w:color w:val="000000"/>
                <w:sz w:val="21"/>
              </w:rPr>
              <w:t>3.批判性思维与判断</w:t>
            </w:r>
          </w:p>
        </w:tc>
        <w:tc>
          <w:tcPr>
            <w:tcW w:w="3402" w:type="dxa"/>
            <w:vAlign w:val="center"/>
          </w:tcPr>
          <w:p w14:paraId="4C5BD82E">
            <w:pPr>
              <w:spacing w:before="20" w:after="20" w:line="320" w:lineRule="exact"/>
              <w:ind w:firstLine="0"/>
              <w:jc w:val="left"/>
            </w:pPr>
            <w:r>
              <w:rPr>
                <w:rFonts w:ascii="Times New Roman" w:hAnsi="Times New Roman" w:eastAsia="仿宋"/>
                <w:b w:val="0"/>
                <w:color w:val="000000"/>
                <w:sz w:val="21"/>
              </w:rPr>
              <w:t>能识别人工智能输出和资料中的错误与偏差；能比较多个方案并给出有证据的取舍理由</w:t>
            </w:r>
          </w:p>
        </w:tc>
        <w:tc>
          <w:tcPr>
            <w:tcW w:w="3515" w:type="dxa"/>
            <w:vAlign w:val="center"/>
          </w:tcPr>
          <w:p w14:paraId="0FFDEAC9">
            <w:pPr>
              <w:spacing w:before="20" w:after="20" w:line="320" w:lineRule="exact"/>
              <w:ind w:firstLine="0"/>
              <w:jc w:val="left"/>
            </w:pPr>
            <w:r>
              <w:rPr>
                <w:rFonts w:ascii="Times New Roman" w:hAnsi="Times New Roman" w:eastAsia="仿宋"/>
                <w:b w:val="0"/>
                <w:color w:val="000000"/>
                <w:sz w:val="21"/>
              </w:rPr>
              <w:t>辨析与纠错任务；论证性写作量规；口头答辩追问表现</w:t>
            </w:r>
          </w:p>
        </w:tc>
      </w:tr>
      <w:tr w14:paraId="24459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8" w:type="dxa"/>
            <w:vAlign w:val="center"/>
          </w:tcPr>
          <w:p w14:paraId="6503D769">
            <w:pPr>
              <w:spacing w:before="20" w:after="20" w:line="320" w:lineRule="exact"/>
              <w:ind w:firstLine="0"/>
              <w:jc w:val="left"/>
            </w:pPr>
            <w:r>
              <w:rPr>
                <w:rFonts w:ascii="Times New Roman" w:hAnsi="Times New Roman" w:eastAsia="仿宋"/>
                <w:b w:val="0"/>
                <w:color w:val="000000"/>
                <w:sz w:val="21"/>
              </w:rPr>
              <w:t>4.人机协同与人工智能驾驭</w:t>
            </w:r>
          </w:p>
        </w:tc>
        <w:tc>
          <w:tcPr>
            <w:tcW w:w="3402" w:type="dxa"/>
            <w:vAlign w:val="center"/>
          </w:tcPr>
          <w:p w14:paraId="21D1FD39">
            <w:pPr>
              <w:spacing w:before="20" w:after="20" w:line="320" w:lineRule="exact"/>
              <w:ind w:firstLine="0"/>
              <w:jc w:val="left"/>
            </w:pPr>
            <w:r>
              <w:rPr>
                <w:rFonts w:ascii="Times New Roman" w:hAnsi="Times New Roman" w:eastAsia="仿宋"/>
                <w:b w:val="0"/>
                <w:color w:val="000000"/>
                <w:sz w:val="21"/>
              </w:rPr>
              <w:t>能合理进行人机分工；提问和迭代有策略；对人工智能的输出进行验证并规范标注</w:t>
            </w:r>
          </w:p>
        </w:tc>
        <w:tc>
          <w:tcPr>
            <w:tcW w:w="3515" w:type="dxa"/>
            <w:vAlign w:val="center"/>
          </w:tcPr>
          <w:p w14:paraId="0A33B2AC">
            <w:pPr>
              <w:spacing w:before="20" w:after="20" w:line="320" w:lineRule="exact"/>
              <w:ind w:firstLine="0"/>
              <w:jc w:val="left"/>
            </w:pPr>
            <w:r>
              <w:rPr>
                <w:rFonts w:ascii="Times New Roman" w:hAnsi="Times New Roman" w:eastAsia="仿宋"/>
                <w:b w:val="0"/>
                <w:color w:val="000000"/>
                <w:sz w:val="21"/>
              </w:rPr>
              <w:t>人机协作过程日志和迭代记录；人工智能使用声明；有无人工智能两种条件下的表现对照</w:t>
            </w:r>
          </w:p>
        </w:tc>
      </w:tr>
      <w:tr w14:paraId="01FF6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8" w:type="dxa"/>
            <w:vAlign w:val="center"/>
          </w:tcPr>
          <w:p w14:paraId="410C5F17">
            <w:pPr>
              <w:spacing w:before="20" w:after="20" w:line="320" w:lineRule="exact"/>
              <w:ind w:firstLine="0"/>
              <w:jc w:val="left"/>
            </w:pPr>
            <w:r>
              <w:rPr>
                <w:rFonts w:ascii="Times New Roman" w:hAnsi="Times New Roman" w:eastAsia="仿宋"/>
                <w:b w:val="0"/>
                <w:color w:val="000000"/>
                <w:sz w:val="21"/>
              </w:rPr>
              <w:t>5.真实情境中的设计实践与创新</w:t>
            </w:r>
          </w:p>
        </w:tc>
        <w:tc>
          <w:tcPr>
            <w:tcW w:w="3402" w:type="dxa"/>
            <w:vAlign w:val="center"/>
          </w:tcPr>
          <w:p w14:paraId="538AF124">
            <w:pPr>
              <w:spacing w:before="20" w:after="20" w:line="320" w:lineRule="exact"/>
              <w:ind w:firstLine="0"/>
              <w:jc w:val="left"/>
            </w:pPr>
            <w:r>
              <w:rPr>
                <w:rFonts w:ascii="Times New Roman" w:hAnsi="Times New Roman" w:eastAsia="仿宋"/>
                <w:b w:val="0"/>
                <w:color w:val="000000"/>
                <w:sz w:val="21"/>
              </w:rPr>
              <w:t>能完成从方案设计、原型实现到测试验证的完整过程；成果有新意并经过验证</w:t>
            </w:r>
          </w:p>
        </w:tc>
        <w:tc>
          <w:tcPr>
            <w:tcW w:w="3515" w:type="dxa"/>
            <w:vAlign w:val="center"/>
          </w:tcPr>
          <w:p w14:paraId="665F9F35">
            <w:pPr>
              <w:spacing w:before="20" w:after="20" w:line="320" w:lineRule="exact"/>
              <w:ind w:firstLine="0"/>
              <w:jc w:val="left"/>
            </w:pPr>
            <w:r>
              <w:rPr>
                <w:rFonts w:ascii="Times New Roman" w:hAnsi="Times New Roman" w:eastAsia="仿宋"/>
                <w:b w:val="0"/>
                <w:color w:val="000000"/>
                <w:sz w:val="21"/>
              </w:rPr>
              <w:t>作品和原型；项目成果评审；企业或用户评价；竞赛、专利等成果</w:t>
            </w:r>
          </w:p>
        </w:tc>
      </w:tr>
      <w:tr w14:paraId="5E730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8" w:type="dxa"/>
            <w:vAlign w:val="center"/>
          </w:tcPr>
          <w:p w14:paraId="550577D5">
            <w:pPr>
              <w:spacing w:before="20" w:after="20" w:line="320" w:lineRule="exact"/>
              <w:ind w:firstLine="0"/>
              <w:jc w:val="left"/>
            </w:pPr>
            <w:r>
              <w:rPr>
                <w:rFonts w:ascii="Times New Roman" w:hAnsi="Times New Roman" w:eastAsia="仿宋"/>
                <w:b w:val="0"/>
                <w:color w:val="000000"/>
                <w:sz w:val="21"/>
              </w:rPr>
              <w:t>6.伦理责任与价值判断</w:t>
            </w:r>
          </w:p>
        </w:tc>
        <w:tc>
          <w:tcPr>
            <w:tcW w:w="3402" w:type="dxa"/>
            <w:vAlign w:val="center"/>
          </w:tcPr>
          <w:p w14:paraId="7AA9D74D">
            <w:pPr>
              <w:spacing w:before="20" w:after="20" w:line="320" w:lineRule="exact"/>
              <w:ind w:firstLine="0"/>
              <w:jc w:val="left"/>
              <w:rPr>
                <w:rFonts w:hint="eastAsia" w:eastAsia="仿宋"/>
                <w:lang w:eastAsia="zh-CN"/>
              </w:rPr>
            </w:pPr>
            <w:r>
              <w:rPr>
                <w:rFonts w:ascii="Times New Roman" w:hAnsi="Times New Roman" w:eastAsia="仿宋"/>
                <w:b w:val="0"/>
                <w:color w:val="000000"/>
                <w:sz w:val="21"/>
              </w:rPr>
              <w:t>能识别伦理风险和利益相关方；能对价值冲突作出有理由的权衡；遵守学术诚信</w:t>
            </w:r>
            <w:r>
              <w:rPr>
                <w:rFonts w:hint="eastAsia"/>
                <w:b w:val="0"/>
                <w:color w:val="000000"/>
                <w:sz w:val="21"/>
                <w:lang w:eastAsia="zh-CN"/>
              </w:rPr>
              <w:t>；</w:t>
            </w:r>
            <w:r>
              <w:rPr>
                <w:rFonts w:hint="eastAsia"/>
                <w:color w:val="000000"/>
                <w:sz w:val="21"/>
                <w:lang w:eastAsia="zh-CN"/>
              </w:rPr>
              <w:t>运用习近平党建思想蕴含的立场观点方法</w:t>
            </w:r>
          </w:p>
        </w:tc>
        <w:tc>
          <w:tcPr>
            <w:tcW w:w="3515" w:type="dxa"/>
            <w:vAlign w:val="center"/>
          </w:tcPr>
          <w:p w14:paraId="443E5DC1">
            <w:pPr>
              <w:spacing w:before="20" w:after="20" w:line="320" w:lineRule="exact"/>
              <w:ind w:firstLine="0"/>
              <w:jc w:val="left"/>
            </w:pPr>
            <w:r>
              <w:rPr>
                <w:rFonts w:ascii="Times New Roman" w:hAnsi="Times New Roman" w:eastAsia="仿宋"/>
                <w:b w:val="0"/>
                <w:color w:val="000000"/>
                <w:sz w:val="21"/>
              </w:rPr>
              <w:t>伦理案例分析；情境判断测验；学术诚信记录</w:t>
            </w:r>
          </w:p>
        </w:tc>
      </w:tr>
      <w:tr w14:paraId="1C9E0B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8" w:type="dxa"/>
            <w:vAlign w:val="center"/>
          </w:tcPr>
          <w:p w14:paraId="46416B04">
            <w:pPr>
              <w:spacing w:before="20" w:after="20" w:line="320" w:lineRule="exact"/>
              <w:ind w:firstLine="0"/>
              <w:jc w:val="left"/>
            </w:pPr>
            <w:r>
              <w:rPr>
                <w:rFonts w:ascii="Times New Roman" w:hAnsi="Times New Roman" w:eastAsia="仿宋"/>
                <w:b w:val="0"/>
                <w:color w:val="000000"/>
                <w:sz w:val="21"/>
              </w:rPr>
              <w:t>7.自主学习与元认知</w:t>
            </w:r>
          </w:p>
        </w:tc>
        <w:tc>
          <w:tcPr>
            <w:tcW w:w="3402" w:type="dxa"/>
            <w:vAlign w:val="center"/>
          </w:tcPr>
          <w:p w14:paraId="2907F15E">
            <w:pPr>
              <w:spacing w:before="20" w:after="20" w:line="320" w:lineRule="exact"/>
              <w:ind w:firstLine="0"/>
              <w:jc w:val="left"/>
            </w:pPr>
            <w:r>
              <w:rPr>
                <w:rFonts w:ascii="Times New Roman" w:hAnsi="Times New Roman" w:eastAsia="仿宋"/>
                <w:b w:val="0"/>
                <w:color w:val="000000"/>
                <w:sz w:val="21"/>
              </w:rPr>
              <w:t>能制定学习计划并监控调整；能觉察并控制对人工智能的依赖</w:t>
            </w:r>
          </w:p>
        </w:tc>
        <w:tc>
          <w:tcPr>
            <w:tcW w:w="3515" w:type="dxa"/>
            <w:vAlign w:val="center"/>
          </w:tcPr>
          <w:p w14:paraId="5C5D7D0C">
            <w:pPr>
              <w:spacing w:before="20" w:after="20" w:line="320" w:lineRule="exact"/>
              <w:ind w:firstLine="0"/>
              <w:jc w:val="left"/>
            </w:pPr>
            <w:r>
              <w:rPr>
                <w:rFonts w:ascii="Times New Roman" w:hAnsi="Times New Roman" w:eastAsia="仿宋"/>
                <w:b w:val="0"/>
                <w:color w:val="000000"/>
                <w:sz w:val="21"/>
              </w:rPr>
              <w:t>学习日志和反思报告；自我调节学习量表；学习过程数据</w:t>
            </w:r>
          </w:p>
        </w:tc>
      </w:tr>
      <w:tr w14:paraId="62CF1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928" w:type="dxa"/>
            <w:vAlign w:val="center"/>
          </w:tcPr>
          <w:p w14:paraId="73D710D0">
            <w:pPr>
              <w:spacing w:before="20" w:after="20" w:line="320" w:lineRule="exact"/>
              <w:ind w:firstLine="0"/>
              <w:jc w:val="left"/>
            </w:pPr>
            <w:r>
              <w:rPr>
                <w:rFonts w:ascii="Times New Roman" w:hAnsi="Times New Roman" w:eastAsia="仿宋"/>
                <w:b w:val="0"/>
                <w:color w:val="000000"/>
                <w:sz w:val="21"/>
              </w:rPr>
              <w:t>8.沟通表达与团队协作</w:t>
            </w:r>
          </w:p>
        </w:tc>
        <w:tc>
          <w:tcPr>
            <w:tcW w:w="3402" w:type="dxa"/>
            <w:vAlign w:val="center"/>
          </w:tcPr>
          <w:p w14:paraId="13A38909">
            <w:pPr>
              <w:spacing w:before="20" w:after="20" w:line="320" w:lineRule="exact"/>
              <w:ind w:firstLine="0"/>
              <w:jc w:val="left"/>
            </w:pPr>
            <w:r>
              <w:rPr>
                <w:rFonts w:ascii="Times New Roman" w:hAnsi="Times New Roman" w:eastAsia="仿宋"/>
                <w:b w:val="0"/>
                <w:color w:val="000000"/>
                <w:sz w:val="21"/>
              </w:rPr>
              <w:t>表达清晰、论证有据；在团队中承担角色并作出可识别的贡献</w:t>
            </w:r>
          </w:p>
        </w:tc>
        <w:tc>
          <w:tcPr>
            <w:tcW w:w="3515" w:type="dxa"/>
            <w:vAlign w:val="center"/>
          </w:tcPr>
          <w:p w14:paraId="4759DE94">
            <w:pPr>
              <w:spacing w:before="20" w:after="20" w:line="320" w:lineRule="exact"/>
              <w:ind w:firstLine="0"/>
              <w:jc w:val="left"/>
            </w:pPr>
            <w:r>
              <w:rPr>
                <w:rFonts w:ascii="Times New Roman" w:hAnsi="Times New Roman" w:eastAsia="仿宋"/>
                <w:b w:val="0"/>
                <w:color w:val="000000"/>
                <w:sz w:val="21"/>
              </w:rPr>
              <w:t>展示与答辩评分；同伴互评；团队过程记录</w:t>
            </w:r>
          </w:p>
        </w:tc>
      </w:tr>
    </w:tbl>
    <w:p w14:paraId="2734073F">
      <w:pPr>
        <w:spacing w:after="0" w:line="200" w:lineRule="exact"/>
      </w:pPr>
    </w:p>
    <w:p w14:paraId="7507737C">
      <w:pPr>
        <w:pStyle w:val="3"/>
      </w:pPr>
      <w:r>
        <w:rPr>
          <w:rFonts w:ascii="Times New Roman" w:hAnsi="Times New Roman" w:eastAsia="黑体"/>
          <w:b w:val="0"/>
          <w:color w:val="000000"/>
          <w:sz w:val="32"/>
        </w:rPr>
        <w:t>三、</w:t>
      </w:r>
      <w:r>
        <w:rPr>
          <w:rFonts w:hint="eastAsia"/>
          <w:b w:val="0"/>
          <w:color w:val="000000"/>
          <w:sz w:val="32"/>
          <w:lang w:eastAsia="zh-CN"/>
        </w:rPr>
        <w:t>“</w:t>
      </w:r>
      <w:r>
        <w:rPr>
          <w:rFonts w:ascii="Times New Roman" w:hAnsi="Times New Roman" w:eastAsia="黑体"/>
          <w:b w:val="0"/>
          <w:color w:val="000000"/>
          <w:sz w:val="32"/>
        </w:rPr>
        <w:t>师</w:t>
      </w:r>
      <w:r>
        <w:rPr>
          <w:rFonts w:hint="eastAsia"/>
          <w:b w:val="0"/>
          <w:color w:val="000000"/>
          <w:sz w:val="32"/>
          <w:lang w:val="en-US" w:eastAsia="zh-CN"/>
        </w:rPr>
        <w:t>-</w:t>
      </w:r>
      <w:r>
        <w:rPr>
          <w:rFonts w:ascii="Times New Roman" w:hAnsi="Times New Roman" w:eastAsia="黑体"/>
          <w:b w:val="0"/>
          <w:color w:val="000000"/>
          <w:sz w:val="32"/>
        </w:rPr>
        <w:t>生</w:t>
      </w:r>
      <w:r>
        <w:rPr>
          <w:rFonts w:hint="eastAsia"/>
          <w:b w:val="0"/>
          <w:color w:val="000000"/>
          <w:sz w:val="32"/>
          <w:lang w:val="en-US" w:eastAsia="zh-CN"/>
        </w:rPr>
        <w:t>-</w:t>
      </w:r>
      <w:r>
        <w:rPr>
          <w:rFonts w:ascii="Times New Roman" w:hAnsi="Times New Roman" w:eastAsia="黑体"/>
          <w:b w:val="0"/>
          <w:color w:val="000000"/>
          <w:sz w:val="32"/>
        </w:rPr>
        <w:t>机</w:t>
      </w:r>
      <w:r>
        <w:rPr>
          <w:rFonts w:hint="eastAsia"/>
          <w:b w:val="0"/>
          <w:color w:val="000000"/>
          <w:sz w:val="32"/>
          <w:lang w:eastAsia="zh-CN"/>
        </w:rPr>
        <w:t>”</w:t>
      </w:r>
      <w:r>
        <w:rPr>
          <w:rFonts w:ascii="Times New Roman" w:hAnsi="Times New Roman" w:eastAsia="黑体"/>
          <w:b w:val="0"/>
          <w:color w:val="000000"/>
          <w:sz w:val="32"/>
        </w:rPr>
        <w:t>三元协同课堂的观察要点</w:t>
      </w:r>
    </w:p>
    <w:p w14:paraId="5B7AB7D1">
      <w:pPr>
        <w:keepNext/>
        <w:spacing w:before="120" w:after="60" w:line="480" w:lineRule="exact"/>
        <w:ind w:left="0" w:firstLine="0"/>
        <w:jc w:val="center"/>
      </w:pPr>
      <w:r>
        <w:rPr>
          <w:rFonts w:ascii="Times New Roman" w:hAnsi="Times New Roman" w:eastAsia="黑体"/>
          <w:b w:val="0"/>
          <w:color w:val="000000"/>
          <w:sz w:val="24"/>
        </w:rPr>
        <w:t>三元协同课堂的基本特征与观察要点</w:t>
      </w:r>
    </w:p>
    <w:tbl>
      <w:tblPr>
        <w:tblStyle w:val="32"/>
        <w:tblW w:w="88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08"/>
        <w:gridCol w:w="6236"/>
      </w:tblGrid>
      <w:tr w14:paraId="59A25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2608" w:type="dxa"/>
            <w:vAlign w:val="center"/>
          </w:tcPr>
          <w:p w14:paraId="7766EC85">
            <w:pPr>
              <w:spacing w:before="20" w:after="20" w:line="320" w:lineRule="exact"/>
              <w:ind w:firstLine="0"/>
              <w:jc w:val="center"/>
            </w:pPr>
            <w:r>
              <w:rPr>
                <w:rFonts w:ascii="Times New Roman" w:hAnsi="Times New Roman" w:eastAsia="黑体"/>
                <w:b w:val="0"/>
                <w:color w:val="000000"/>
                <w:sz w:val="21"/>
              </w:rPr>
              <w:t>基本特征</w:t>
            </w:r>
          </w:p>
        </w:tc>
        <w:tc>
          <w:tcPr>
            <w:tcW w:w="6236" w:type="dxa"/>
            <w:vAlign w:val="center"/>
          </w:tcPr>
          <w:p w14:paraId="356036AD">
            <w:pPr>
              <w:spacing w:before="20" w:after="20" w:line="320" w:lineRule="exact"/>
              <w:ind w:firstLine="0"/>
              <w:jc w:val="center"/>
            </w:pPr>
            <w:r>
              <w:rPr>
                <w:rFonts w:ascii="Times New Roman" w:hAnsi="Times New Roman" w:eastAsia="黑体"/>
                <w:b w:val="0"/>
                <w:color w:val="000000"/>
                <w:sz w:val="21"/>
              </w:rPr>
              <w:t>观察要点</w:t>
            </w:r>
          </w:p>
        </w:tc>
      </w:tr>
      <w:tr w14:paraId="7D016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08" w:type="dxa"/>
            <w:vAlign w:val="center"/>
          </w:tcPr>
          <w:p w14:paraId="1DD16FE8">
            <w:pPr>
              <w:spacing w:before="20" w:after="20" w:line="320" w:lineRule="exact"/>
              <w:ind w:firstLine="0"/>
              <w:jc w:val="left"/>
            </w:pPr>
            <w:r>
              <w:rPr>
                <w:rFonts w:ascii="Times New Roman" w:hAnsi="Times New Roman" w:eastAsia="仿宋"/>
                <w:b w:val="0"/>
                <w:color w:val="000000"/>
                <w:sz w:val="21"/>
              </w:rPr>
              <w:t>教师是学习与认知的设计者</w:t>
            </w:r>
          </w:p>
        </w:tc>
        <w:tc>
          <w:tcPr>
            <w:tcW w:w="6236" w:type="dxa"/>
            <w:vAlign w:val="center"/>
          </w:tcPr>
          <w:p w14:paraId="36BDBC33">
            <w:pPr>
              <w:spacing w:before="20" w:after="20" w:line="320" w:lineRule="exact"/>
              <w:ind w:firstLine="0"/>
              <w:jc w:val="left"/>
            </w:pPr>
            <w:r>
              <w:rPr>
                <w:rFonts w:ascii="Times New Roman" w:hAnsi="Times New Roman" w:eastAsia="仿宋"/>
                <w:b w:val="0"/>
                <w:color w:val="000000"/>
                <w:sz w:val="21"/>
              </w:rPr>
              <w:t>教师讲授时间占比是否下降；是否有面向主攻能力的高阶任务；追问和反馈是否针对学生的思维过程</w:t>
            </w:r>
          </w:p>
        </w:tc>
      </w:tr>
      <w:tr w14:paraId="771AB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08" w:type="dxa"/>
            <w:vAlign w:val="center"/>
          </w:tcPr>
          <w:p w14:paraId="241133E2">
            <w:pPr>
              <w:spacing w:before="20" w:after="20" w:line="320" w:lineRule="exact"/>
              <w:ind w:firstLine="0"/>
              <w:jc w:val="left"/>
            </w:pPr>
            <w:r>
              <w:rPr>
                <w:rFonts w:ascii="Times New Roman" w:hAnsi="Times New Roman" w:eastAsia="仿宋"/>
                <w:b w:val="0"/>
                <w:color w:val="000000"/>
                <w:sz w:val="21"/>
              </w:rPr>
              <w:t>学生是主动建构者</w:t>
            </w:r>
          </w:p>
        </w:tc>
        <w:tc>
          <w:tcPr>
            <w:tcW w:w="6236" w:type="dxa"/>
            <w:vAlign w:val="center"/>
          </w:tcPr>
          <w:p w14:paraId="42EA92F0">
            <w:pPr>
              <w:spacing w:before="20" w:after="20" w:line="320" w:lineRule="exact"/>
              <w:ind w:firstLine="0"/>
              <w:jc w:val="left"/>
            </w:pPr>
            <w:r>
              <w:rPr>
                <w:rFonts w:ascii="Times New Roman" w:hAnsi="Times New Roman" w:eastAsia="仿宋"/>
                <w:b w:val="0"/>
                <w:color w:val="000000"/>
                <w:sz w:val="21"/>
              </w:rPr>
              <w:t>是否有先独立、后协同的环节；学生是否有可见的认知加工痕迹；每个学生是否都有可评价的产出</w:t>
            </w:r>
          </w:p>
        </w:tc>
      </w:tr>
      <w:tr w14:paraId="51509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08" w:type="dxa"/>
            <w:vAlign w:val="center"/>
          </w:tcPr>
          <w:p w14:paraId="1CFBEC41">
            <w:pPr>
              <w:spacing w:before="20" w:after="20" w:line="320" w:lineRule="exact"/>
              <w:ind w:firstLine="0"/>
              <w:jc w:val="left"/>
            </w:pPr>
            <w:r>
              <w:rPr>
                <w:rFonts w:ascii="Times New Roman" w:hAnsi="Times New Roman" w:eastAsia="仿宋"/>
                <w:b w:val="0"/>
                <w:color w:val="000000"/>
                <w:sz w:val="21"/>
              </w:rPr>
              <w:t>人工智能是有边界的能力增强工具</w:t>
            </w:r>
          </w:p>
        </w:tc>
        <w:tc>
          <w:tcPr>
            <w:tcW w:w="6236" w:type="dxa"/>
            <w:vAlign w:val="center"/>
          </w:tcPr>
          <w:p w14:paraId="49808957">
            <w:pPr>
              <w:spacing w:before="20" w:after="20" w:line="320" w:lineRule="exact"/>
              <w:ind w:firstLine="0"/>
              <w:jc w:val="left"/>
            </w:pPr>
            <w:r>
              <w:rPr>
                <w:rFonts w:ascii="Times New Roman" w:hAnsi="Times New Roman" w:eastAsia="仿宋"/>
                <w:b w:val="0"/>
                <w:color w:val="000000"/>
                <w:sz w:val="21"/>
              </w:rPr>
              <w:t>各环节是否明确人工智能的角色和使用范围；是否存在必须独立完成的环节；学生是否规范标注人工智能的使用</w:t>
            </w:r>
          </w:p>
        </w:tc>
      </w:tr>
      <w:tr w14:paraId="53734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08" w:type="dxa"/>
            <w:vAlign w:val="center"/>
          </w:tcPr>
          <w:p w14:paraId="731B0932">
            <w:pPr>
              <w:spacing w:before="20" w:after="20" w:line="320" w:lineRule="exact"/>
              <w:ind w:firstLine="0"/>
              <w:jc w:val="left"/>
            </w:pPr>
            <w:r>
              <w:rPr>
                <w:rFonts w:ascii="Times New Roman" w:hAnsi="Times New Roman" w:eastAsia="仿宋"/>
                <w:b w:val="0"/>
                <w:color w:val="000000"/>
                <w:sz w:val="21"/>
              </w:rPr>
              <w:t>三元互动真实发生</w:t>
            </w:r>
          </w:p>
        </w:tc>
        <w:tc>
          <w:tcPr>
            <w:tcW w:w="6236" w:type="dxa"/>
            <w:vAlign w:val="center"/>
          </w:tcPr>
          <w:p w14:paraId="44800750">
            <w:pPr>
              <w:spacing w:before="20" w:after="20" w:line="320" w:lineRule="exact"/>
              <w:ind w:firstLine="0"/>
              <w:jc w:val="left"/>
            </w:pPr>
            <w:r>
              <w:rPr>
                <w:rFonts w:ascii="Times New Roman" w:hAnsi="Times New Roman" w:eastAsia="仿宋"/>
                <w:b w:val="0"/>
                <w:color w:val="000000"/>
                <w:sz w:val="21"/>
              </w:rPr>
              <w:t>学生是否对人工智能的输出提出质疑、进行核验和改进；师生、生生和人机互动是否围绕同一学习任务</w:t>
            </w:r>
          </w:p>
        </w:tc>
      </w:tr>
      <w:tr w14:paraId="018F2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608" w:type="dxa"/>
            <w:vAlign w:val="center"/>
          </w:tcPr>
          <w:p w14:paraId="3F95AE96">
            <w:pPr>
              <w:spacing w:before="20" w:after="20" w:line="320" w:lineRule="exact"/>
              <w:ind w:firstLine="0"/>
              <w:jc w:val="left"/>
            </w:pPr>
            <w:r>
              <w:rPr>
                <w:rFonts w:ascii="Times New Roman" w:hAnsi="Times New Roman" w:eastAsia="仿宋"/>
                <w:b w:val="0"/>
                <w:color w:val="000000"/>
                <w:sz w:val="21"/>
              </w:rPr>
              <w:t>教、学、评一致</w:t>
            </w:r>
          </w:p>
        </w:tc>
        <w:tc>
          <w:tcPr>
            <w:tcW w:w="6236" w:type="dxa"/>
            <w:vAlign w:val="center"/>
          </w:tcPr>
          <w:p w14:paraId="5C279B1D">
            <w:pPr>
              <w:spacing w:before="20" w:after="20" w:line="320" w:lineRule="exact"/>
              <w:ind w:firstLine="0"/>
              <w:jc w:val="left"/>
            </w:pPr>
            <w:r>
              <w:rPr>
                <w:rFonts w:ascii="Times New Roman" w:hAnsi="Times New Roman" w:eastAsia="仿宋"/>
                <w:b w:val="0"/>
                <w:color w:val="000000"/>
                <w:sz w:val="21"/>
              </w:rPr>
              <w:t>学习任务、课堂活动和评价是否都指向主攻能力；评价是否能区分有人工智能和没有人工智能条件下的能力</w:t>
            </w:r>
          </w:p>
        </w:tc>
      </w:tr>
    </w:tbl>
    <w:p w14:paraId="77222EA0">
      <w:pPr>
        <w:spacing w:after="0" w:line="200" w:lineRule="exact"/>
      </w:pPr>
    </w:p>
    <w:p w14:paraId="59018DAC">
      <w:pPr>
        <w:pStyle w:val="3"/>
      </w:pPr>
      <w:r>
        <w:rPr>
          <w:rFonts w:ascii="Times New Roman" w:hAnsi="Times New Roman" w:eastAsia="黑体"/>
          <w:b w:val="0"/>
          <w:color w:val="000000"/>
          <w:sz w:val="32"/>
        </w:rPr>
        <w:t>四、研究设计指引</w:t>
      </w:r>
    </w:p>
    <w:p w14:paraId="38431721">
      <w:pPr>
        <w:keepNext/>
        <w:spacing w:before="120" w:after="60" w:line="480" w:lineRule="exact"/>
        <w:ind w:left="0" w:firstLine="0"/>
        <w:jc w:val="center"/>
      </w:pPr>
      <w:r>
        <w:rPr>
          <w:rFonts w:ascii="Times New Roman" w:hAnsi="Times New Roman" w:eastAsia="黑体"/>
          <w:b w:val="0"/>
          <w:color w:val="000000"/>
          <w:sz w:val="24"/>
        </w:rPr>
        <w:t>可选用的研究设计</w:t>
      </w:r>
    </w:p>
    <w:tbl>
      <w:tblPr>
        <w:tblStyle w:val="32"/>
        <w:tblW w:w="88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87"/>
        <w:gridCol w:w="2268"/>
        <w:gridCol w:w="3855"/>
        <w:gridCol w:w="1134"/>
      </w:tblGrid>
      <w:tr w14:paraId="59D7B9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587" w:type="dxa"/>
            <w:vAlign w:val="center"/>
          </w:tcPr>
          <w:p w14:paraId="47220801">
            <w:pPr>
              <w:spacing w:before="20" w:after="20" w:line="320" w:lineRule="exact"/>
              <w:ind w:firstLine="0"/>
              <w:jc w:val="center"/>
            </w:pPr>
            <w:r>
              <w:rPr>
                <w:rFonts w:ascii="Times New Roman" w:hAnsi="Times New Roman" w:eastAsia="黑体"/>
                <w:b w:val="0"/>
                <w:color w:val="000000"/>
                <w:sz w:val="21"/>
              </w:rPr>
              <w:t>设计类型</w:t>
            </w:r>
          </w:p>
        </w:tc>
        <w:tc>
          <w:tcPr>
            <w:tcW w:w="2268" w:type="dxa"/>
            <w:vAlign w:val="center"/>
          </w:tcPr>
          <w:p w14:paraId="51858C17">
            <w:pPr>
              <w:spacing w:before="20" w:after="20" w:line="320" w:lineRule="exact"/>
              <w:ind w:firstLine="0"/>
              <w:jc w:val="center"/>
            </w:pPr>
            <w:r>
              <w:rPr>
                <w:rFonts w:ascii="Times New Roman" w:hAnsi="Times New Roman" w:eastAsia="黑体"/>
                <w:b w:val="0"/>
                <w:color w:val="000000"/>
                <w:sz w:val="21"/>
              </w:rPr>
              <w:t>适用情形</w:t>
            </w:r>
          </w:p>
        </w:tc>
        <w:tc>
          <w:tcPr>
            <w:tcW w:w="3855" w:type="dxa"/>
            <w:vAlign w:val="center"/>
          </w:tcPr>
          <w:p w14:paraId="3CC5F3B9">
            <w:pPr>
              <w:spacing w:before="20" w:after="20" w:line="320" w:lineRule="exact"/>
              <w:ind w:firstLine="0"/>
              <w:jc w:val="center"/>
            </w:pPr>
            <w:r>
              <w:rPr>
                <w:rFonts w:ascii="Times New Roman" w:hAnsi="Times New Roman" w:eastAsia="黑体"/>
                <w:b w:val="0"/>
                <w:color w:val="000000"/>
                <w:sz w:val="21"/>
              </w:rPr>
              <w:t>设计要点</w:t>
            </w:r>
          </w:p>
        </w:tc>
        <w:tc>
          <w:tcPr>
            <w:tcW w:w="1134" w:type="dxa"/>
            <w:vAlign w:val="center"/>
          </w:tcPr>
          <w:p w14:paraId="4F8A8E56">
            <w:pPr>
              <w:spacing w:before="20" w:after="20" w:line="320" w:lineRule="exact"/>
              <w:ind w:firstLine="0"/>
              <w:jc w:val="center"/>
            </w:pPr>
            <w:r>
              <w:rPr>
                <w:rFonts w:ascii="Times New Roman" w:hAnsi="Times New Roman" w:eastAsia="黑体"/>
                <w:b w:val="0"/>
                <w:color w:val="000000"/>
                <w:sz w:val="21"/>
              </w:rPr>
              <w:t>证据等级</w:t>
            </w:r>
          </w:p>
        </w:tc>
      </w:tr>
      <w:tr w14:paraId="32E36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87" w:type="dxa"/>
            <w:vAlign w:val="center"/>
          </w:tcPr>
          <w:p w14:paraId="57C2DD79">
            <w:pPr>
              <w:spacing w:before="20" w:after="20" w:line="320" w:lineRule="exact"/>
              <w:ind w:firstLine="0"/>
              <w:jc w:val="left"/>
            </w:pPr>
            <w:r>
              <w:rPr>
                <w:rFonts w:ascii="Times New Roman" w:hAnsi="Times New Roman" w:eastAsia="仿宋"/>
                <w:b w:val="0"/>
                <w:color w:val="000000"/>
                <w:sz w:val="21"/>
              </w:rPr>
              <w:t>平行班对照</w:t>
            </w:r>
          </w:p>
        </w:tc>
        <w:tc>
          <w:tcPr>
            <w:tcW w:w="2268" w:type="dxa"/>
            <w:vAlign w:val="center"/>
          </w:tcPr>
          <w:p w14:paraId="4932E763">
            <w:pPr>
              <w:spacing w:before="20" w:after="20" w:line="320" w:lineRule="exact"/>
              <w:ind w:firstLine="0"/>
              <w:jc w:val="left"/>
            </w:pPr>
            <w:r>
              <w:rPr>
                <w:rFonts w:ascii="Times New Roman" w:hAnsi="Times New Roman" w:eastAsia="仿宋"/>
                <w:b w:val="0"/>
                <w:color w:val="000000"/>
                <w:sz w:val="21"/>
              </w:rPr>
              <w:t>同一课程同学期有两个及以上教学班</w:t>
            </w:r>
          </w:p>
        </w:tc>
        <w:tc>
          <w:tcPr>
            <w:tcW w:w="3855" w:type="dxa"/>
            <w:vAlign w:val="center"/>
          </w:tcPr>
          <w:p w14:paraId="281A42EF">
            <w:pPr>
              <w:spacing w:before="20" w:after="20" w:line="320" w:lineRule="exact"/>
              <w:ind w:firstLine="0"/>
              <w:jc w:val="left"/>
            </w:pPr>
            <w:r>
              <w:rPr>
                <w:rFonts w:ascii="Times New Roman" w:hAnsi="Times New Roman" w:eastAsia="仿宋"/>
                <w:b w:val="0"/>
                <w:color w:val="000000"/>
                <w:sz w:val="21"/>
              </w:rPr>
              <w:t>实验班与对照班使用相同的测评任务和量规；前测检验两组基础是否相当；控制教师、学时和考核差异</w:t>
            </w:r>
          </w:p>
        </w:tc>
        <w:tc>
          <w:tcPr>
            <w:tcW w:w="1134" w:type="dxa"/>
            <w:vAlign w:val="center"/>
          </w:tcPr>
          <w:p w14:paraId="5EC68BAD">
            <w:pPr>
              <w:spacing w:before="20" w:after="20" w:line="320" w:lineRule="exact"/>
              <w:ind w:firstLine="0"/>
              <w:jc w:val="center"/>
            </w:pPr>
            <w:r>
              <w:rPr>
                <w:rFonts w:ascii="Times New Roman" w:hAnsi="Times New Roman" w:eastAsia="仿宋"/>
                <w:b w:val="0"/>
                <w:color w:val="000000"/>
                <w:sz w:val="21"/>
              </w:rPr>
              <w:t>A级</w:t>
            </w:r>
          </w:p>
        </w:tc>
      </w:tr>
      <w:tr w14:paraId="56EDE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87" w:type="dxa"/>
            <w:vAlign w:val="center"/>
          </w:tcPr>
          <w:p w14:paraId="0A60733C">
            <w:pPr>
              <w:spacing w:before="20" w:after="20" w:line="320" w:lineRule="exact"/>
              <w:ind w:firstLine="0"/>
              <w:jc w:val="left"/>
            </w:pPr>
            <w:r>
              <w:rPr>
                <w:rFonts w:ascii="Times New Roman" w:hAnsi="Times New Roman" w:eastAsia="仿宋"/>
                <w:b w:val="0"/>
                <w:color w:val="000000"/>
                <w:sz w:val="21"/>
              </w:rPr>
              <w:t>历史同期对照</w:t>
            </w:r>
          </w:p>
        </w:tc>
        <w:tc>
          <w:tcPr>
            <w:tcW w:w="2268" w:type="dxa"/>
            <w:vAlign w:val="center"/>
          </w:tcPr>
          <w:p w14:paraId="54E1A06B">
            <w:pPr>
              <w:spacing w:before="20" w:after="20" w:line="320" w:lineRule="exact"/>
              <w:ind w:firstLine="0"/>
              <w:jc w:val="left"/>
            </w:pPr>
            <w:r>
              <w:rPr>
                <w:rFonts w:ascii="Times New Roman" w:hAnsi="Times New Roman" w:eastAsia="仿宋"/>
                <w:b w:val="0"/>
                <w:color w:val="000000"/>
                <w:sz w:val="21"/>
              </w:rPr>
              <w:t>没有平行班，但上一届同一课程留有可比的测评数据或学生作品</w:t>
            </w:r>
          </w:p>
        </w:tc>
        <w:tc>
          <w:tcPr>
            <w:tcW w:w="3855" w:type="dxa"/>
            <w:vAlign w:val="center"/>
          </w:tcPr>
          <w:p w14:paraId="1C26EDD4">
            <w:pPr>
              <w:spacing w:before="20" w:after="20" w:line="320" w:lineRule="exact"/>
              <w:ind w:firstLine="0"/>
              <w:jc w:val="left"/>
            </w:pPr>
            <w:r>
              <w:rPr>
                <w:rFonts w:ascii="Times New Roman" w:hAnsi="Times New Roman" w:eastAsia="仿宋"/>
                <w:b w:val="0"/>
                <w:color w:val="000000"/>
                <w:sz w:val="21"/>
              </w:rPr>
              <w:t>对上一届作品用同一量规重新评分；说明两届学生基础和教学条件的差异</w:t>
            </w:r>
          </w:p>
        </w:tc>
        <w:tc>
          <w:tcPr>
            <w:tcW w:w="1134" w:type="dxa"/>
            <w:vAlign w:val="center"/>
          </w:tcPr>
          <w:p w14:paraId="7F6441F3">
            <w:pPr>
              <w:spacing w:before="20" w:after="20" w:line="320" w:lineRule="exact"/>
              <w:ind w:firstLine="0"/>
              <w:jc w:val="center"/>
            </w:pPr>
            <w:r>
              <w:rPr>
                <w:rFonts w:ascii="Times New Roman" w:hAnsi="Times New Roman" w:eastAsia="仿宋"/>
                <w:b w:val="0"/>
                <w:color w:val="000000"/>
                <w:sz w:val="21"/>
              </w:rPr>
              <w:t>A级</w:t>
            </w:r>
          </w:p>
        </w:tc>
      </w:tr>
      <w:tr w14:paraId="0E6C2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87" w:type="dxa"/>
            <w:vAlign w:val="center"/>
          </w:tcPr>
          <w:p w14:paraId="4FF0BE1C">
            <w:pPr>
              <w:spacing w:before="20" w:after="20" w:line="320" w:lineRule="exact"/>
              <w:ind w:firstLine="0"/>
              <w:jc w:val="left"/>
            </w:pPr>
            <w:r>
              <w:rPr>
                <w:rFonts w:ascii="Times New Roman" w:hAnsi="Times New Roman" w:eastAsia="仿宋"/>
                <w:b w:val="0"/>
                <w:color w:val="000000"/>
                <w:sz w:val="21"/>
              </w:rPr>
              <w:t>实验班与普通班对照</w:t>
            </w:r>
          </w:p>
        </w:tc>
        <w:tc>
          <w:tcPr>
            <w:tcW w:w="2268" w:type="dxa"/>
            <w:vAlign w:val="center"/>
          </w:tcPr>
          <w:p w14:paraId="27258748">
            <w:pPr>
              <w:spacing w:before="20" w:after="20" w:line="320" w:lineRule="exact"/>
              <w:ind w:firstLine="0"/>
              <w:jc w:val="left"/>
            </w:pPr>
            <w:r>
              <w:rPr>
                <w:rFonts w:ascii="Times New Roman" w:hAnsi="Times New Roman" w:eastAsia="仿宋"/>
                <w:b w:val="0"/>
                <w:color w:val="000000"/>
                <w:sz w:val="21"/>
              </w:rPr>
              <w:t>重大项目</w:t>
            </w:r>
          </w:p>
        </w:tc>
        <w:tc>
          <w:tcPr>
            <w:tcW w:w="3855" w:type="dxa"/>
            <w:vAlign w:val="center"/>
          </w:tcPr>
          <w:p w14:paraId="62F289CD">
            <w:pPr>
              <w:spacing w:before="20" w:after="20" w:line="320" w:lineRule="exact"/>
              <w:ind w:firstLine="0"/>
              <w:jc w:val="left"/>
            </w:pPr>
            <w:r>
              <w:rPr>
                <w:rFonts w:ascii="Times New Roman" w:hAnsi="Times New Roman" w:eastAsia="仿宋"/>
                <w:b w:val="0"/>
                <w:color w:val="000000"/>
                <w:sz w:val="21"/>
              </w:rPr>
              <w:t>实验班与同专业普通班在入学基础相当的前提下按学年追踪能力变化</w:t>
            </w:r>
          </w:p>
        </w:tc>
        <w:tc>
          <w:tcPr>
            <w:tcW w:w="1134" w:type="dxa"/>
            <w:vAlign w:val="center"/>
          </w:tcPr>
          <w:p w14:paraId="7AD9155D">
            <w:pPr>
              <w:spacing w:before="20" w:after="20" w:line="320" w:lineRule="exact"/>
              <w:ind w:firstLine="0"/>
              <w:jc w:val="center"/>
            </w:pPr>
            <w:r>
              <w:rPr>
                <w:rFonts w:ascii="Times New Roman" w:hAnsi="Times New Roman" w:eastAsia="仿宋"/>
                <w:b w:val="0"/>
                <w:color w:val="000000"/>
                <w:sz w:val="21"/>
              </w:rPr>
              <w:t>A级</w:t>
            </w:r>
          </w:p>
        </w:tc>
      </w:tr>
      <w:tr w14:paraId="6B5AC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587" w:type="dxa"/>
            <w:vAlign w:val="center"/>
          </w:tcPr>
          <w:p w14:paraId="7C092C41">
            <w:pPr>
              <w:spacing w:before="20" w:after="20" w:line="320" w:lineRule="exact"/>
              <w:ind w:firstLine="0"/>
              <w:jc w:val="left"/>
            </w:pPr>
            <w:r>
              <w:rPr>
                <w:rFonts w:ascii="Times New Roman" w:hAnsi="Times New Roman" w:eastAsia="仿宋"/>
                <w:b w:val="0"/>
                <w:color w:val="000000"/>
                <w:sz w:val="21"/>
              </w:rPr>
              <w:t>单组前后测</w:t>
            </w:r>
          </w:p>
        </w:tc>
        <w:tc>
          <w:tcPr>
            <w:tcW w:w="2268" w:type="dxa"/>
            <w:vAlign w:val="center"/>
          </w:tcPr>
          <w:p w14:paraId="35E7B962">
            <w:pPr>
              <w:spacing w:before="20" w:after="20" w:line="320" w:lineRule="exact"/>
              <w:ind w:firstLine="0"/>
              <w:jc w:val="left"/>
            </w:pPr>
            <w:r>
              <w:rPr>
                <w:rFonts w:ascii="Times New Roman" w:hAnsi="Times New Roman" w:eastAsia="仿宋"/>
                <w:b w:val="0"/>
                <w:color w:val="000000"/>
                <w:sz w:val="21"/>
              </w:rPr>
              <w:t>一般项目，或暂不具备对照条件的课程</w:t>
            </w:r>
          </w:p>
        </w:tc>
        <w:tc>
          <w:tcPr>
            <w:tcW w:w="3855" w:type="dxa"/>
            <w:vAlign w:val="center"/>
          </w:tcPr>
          <w:p w14:paraId="659C2F7F">
            <w:pPr>
              <w:spacing w:before="20" w:after="20" w:line="320" w:lineRule="exact"/>
              <w:ind w:firstLine="0"/>
              <w:jc w:val="left"/>
            </w:pPr>
            <w:r>
              <w:rPr>
                <w:rFonts w:ascii="Times New Roman" w:hAnsi="Times New Roman" w:eastAsia="仿宋"/>
                <w:b w:val="0"/>
                <w:color w:val="000000"/>
                <w:sz w:val="21"/>
              </w:rPr>
              <w:t>改革前后使用等值的测评任务；增加学期中的测量点；辅以学生作品和表现证据</w:t>
            </w:r>
          </w:p>
        </w:tc>
        <w:tc>
          <w:tcPr>
            <w:tcW w:w="1134" w:type="dxa"/>
            <w:vAlign w:val="center"/>
          </w:tcPr>
          <w:p w14:paraId="629FB51E">
            <w:pPr>
              <w:spacing w:before="20" w:after="20" w:line="320" w:lineRule="exact"/>
              <w:ind w:firstLine="0"/>
              <w:jc w:val="center"/>
            </w:pPr>
            <w:r>
              <w:rPr>
                <w:rFonts w:ascii="Times New Roman" w:hAnsi="Times New Roman" w:eastAsia="仿宋"/>
                <w:b w:val="0"/>
                <w:color w:val="000000"/>
                <w:sz w:val="21"/>
              </w:rPr>
              <w:t>B级</w:t>
            </w:r>
          </w:p>
        </w:tc>
      </w:tr>
    </w:tbl>
    <w:p w14:paraId="588AA41C">
      <w:pPr>
        <w:spacing w:after="0" w:line="200" w:lineRule="exact"/>
      </w:pPr>
    </w:p>
    <w:p w14:paraId="0B00F966">
      <w:pPr>
        <w:spacing w:before="0" w:after="0" w:line="560" w:lineRule="exact"/>
        <w:ind w:left="0" w:firstLine="640"/>
        <w:jc w:val="both"/>
      </w:pPr>
      <w:r>
        <w:rPr>
          <w:rFonts w:ascii="Times New Roman" w:hAnsi="Times New Roman" w:eastAsia="仿宋"/>
          <w:b w:val="0"/>
          <w:color w:val="000000"/>
          <w:sz w:val="32"/>
        </w:rPr>
        <w:t>行动研究按</w:t>
      </w:r>
      <w:r>
        <w:rPr>
          <w:rFonts w:hint="eastAsia"/>
          <w:b w:val="0"/>
          <w:color w:val="000000"/>
          <w:sz w:val="32"/>
          <w:lang w:eastAsia="zh-CN"/>
        </w:rPr>
        <w:t>“</w:t>
      </w:r>
      <w:r>
        <w:rPr>
          <w:rFonts w:ascii="Times New Roman" w:hAnsi="Times New Roman" w:eastAsia="仿宋"/>
          <w:b w:val="0"/>
          <w:color w:val="000000"/>
          <w:sz w:val="32"/>
        </w:rPr>
        <w:t>计划</w:t>
      </w:r>
      <w:r>
        <w:rPr>
          <w:rFonts w:hint="eastAsia"/>
          <w:b w:val="0"/>
          <w:color w:val="000000"/>
          <w:sz w:val="32"/>
          <w:lang w:val="en-US" w:eastAsia="zh-CN"/>
        </w:rPr>
        <w:t>-</w:t>
      </w:r>
      <w:r>
        <w:rPr>
          <w:rFonts w:ascii="Times New Roman" w:hAnsi="Times New Roman" w:eastAsia="仿宋"/>
          <w:b w:val="0"/>
          <w:color w:val="000000"/>
          <w:sz w:val="32"/>
        </w:rPr>
        <w:t>行动</w:t>
      </w:r>
      <w:r>
        <w:rPr>
          <w:rFonts w:hint="eastAsia"/>
          <w:b w:val="0"/>
          <w:color w:val="000000"/>
          <w:sz w:val="32"/>
          <w:lang w:val="en-US" w:eastAsia="zh-CN"/>
        </w:rPr>
        <w:t>-</w:t>
      </w:r>
      <w:r>
        <w:rPr>
          <w:rFonts w:ascii="Times New Roman" w:hAnsi="Times New Roman" w:eastAsia="仿宋"/>
          <w:b w:val="0"/>
          <w:color w:val="000000"/>
          <w:sz w:val="32"/>
        </w:rPr>
        <w:t>观察</w:t>
      </w:r>
      <w:r>
        <w:rPr>
          <w:rFonts w:hint="eastAsia"/>
          <w:b w:val="0"/>
          <w:color w:val="000000"/>
          <w:sz w:val="32"/>
          <w:lang w:val="en-US" w:eastAsia="zh-CN"/>
        </w:rPr>
        <w:t>-</w:t>
      </w:r>
      <w:r>
        <w:rPr>
          <w:rFonts w:ascii="Times New Roman" w:hAnsi="Times New Roman" w:eastAsia="仿宋"/>
          <w:b w:val="0"/>
          <w:color w:val="000000"/>
          <w:sz w:val="32"/>
        </w:rPr>
        <w:t>反思</w:t>
      </w:r>
      <w:r>
        <w:rPr>
          <w:rFonts w:hint="eastAsia"/>
          <w:b w:val="0"/>
          <w:color w:val="000000"/>
          <w:sz w:val="32"/>
          <w:lang w:eastAsia="zh-CN"/>
        </w:rPr>
        <w:t>”</w:t>
      </w:r>
      <w:r>
        <w:rPr>
          <w:rFonts w:ascii="Times New Roman" w:hAnsi="Times New Roman" w:eastAsia="仿宋"/>
          <w:b w:val="0"/>
          <w:color w:val="000000"/>
          <w:sz w:val="32"/>
        </w:rPr>
        <w:t>循环推进，每一轮覆盖一个完整教学周期，轮与轮之间的改进须有证据支持。对照研究不得使对照班学生处于不利地位，可采用延迟实施或交叉实施。课堂录像、学生作品和学习数据的采集使用，须事先告知学生并取得同意。</w:t>
      </w:r>
    </w:p>
    <w:p w14:paraId="2C599C27">
      <w:pPr>
        <w:pStyle w:val="3"/>
      </w:pPr>
      <w:r>
        <w:rPr>
          <w:rFonts w:ascii="Times New Roman" w:hAnsi="Times New Roman" w:eastAsia="黑体"/>
          <w:b w:val="0"/>
          <w:color w:val="000000"/>
          <w:sz w:val="32"/>
        </w:rPr>
        <w:t>五、参考选题</w:t>
      </w:r>
    </w:p>
    <w:p w14:paraId="3A9A8509">
      <w:pPr>
        <w:pStyle w:val="4"/>
      </w:pPr>
      <w:r>
        <w:rPr>
          <w:rFonts w:ascii="Times New Roman" w:hAnsi="Times New Roman" w:eastAsia="楷体"/>
          <w:b/>
          <w:color w:val="000000"/>
          <w:sz w:val="32"/>
        </w:rPr>
        <w:t>（一）重大项目：AI+X创新实验班人才培养体系重构</w:t>
      </w:r>
    </w:p>
    <w:p w14:paraId="58A30D8B">
      <w:pPr>
        <w:spacing w:before="0" w:after="0" w:line="560" w:lineRule="exact"/>
        <w:ind w:left="0" w:firstLine="640"/>
        <w:jc w:val="both"/>
      </w:pPr>
      <w:r>
        <w:rPr>
          <w:rFonts w:ascii="Times New Roman" w:hAnsi="Times New Roman" w:eastAsia="仿宋"/>
          <w:b w:val="0"/>
          <w:color w:val="000000"/>
          <w:sz w:val="32"/>
        </w:rPr>
        <w:t>1.AI+X拔尖创新人才核心能力模型与人才培养方案重构研究与实践</w:t>
      </w:r>
    </w:p>
    <w:p w14:paraId="79103BBC">
      <w:pPr>
        <w:spacing w:before="0" w:after="0" w:line="560" w:lineRule="exact"/>
        <w:ind w:left="0" w:firstLine="640"/>
        <w:jc w:val="both"/>
      </w:pPr>
      <w:r>
        <w:rPr>
          <w:rFonts w:ascii="Times New Roman" w:hAnsi="Times New Roman" w:eastAsia="仿宋"/>
          <w:b w:val="0"/>
          <w:color w:val="000000"/>
          <w:sz w:val="32"/>
        </w:rPr>
        <w:t>2.以核心能力进阶为主线的AI+X跨学科课程体系与模块化课程集群建设</w:t>
      </w:r>
    </w:p>
    <w:p w14:paraId="072F2741">
      <w:pPr>
        <w:spacing w:before="0" w:after="0" w:line="560" w:lineRule="exact"/>
        <w:ind w:left="0" w:firstLine="640"/>
        <w:jc w:val="both"/>
      </w:pPr>
      <w:r>
        <w:rPr>
          <w:rFonts w:ascii="Times New Roman" w:hAnsi="Times New Roman" w:eastAsia="仿宋"/>
          <w:b w:val="0"/>
          <w:color w:val="000000"/>
          <w:sz w:val="32"/>
        </w:rPr>
        <w:t>3.面向真实科学与工程问题的AI+X项目制、研究型学习体系构建</w:t>
      </w:r>
    </w:p>
    <w:p w14:paraId="1A31851E">
      <w:pPr>
        <w:spacing w:before="0" w:after="0" w:line="560" w:lineRule="exact"/>
        <w:ind w:left="0" w:firstLine="640"/>
        <w:jc w:val="both"/>
      </w:pPr>
      <w:r>
        <w:rPr>
          <w:rFonts w:ascii="Times New Roman" w:hAnsi="Times New Roman" w:eastAsia="仿宋"/>
          <w:b w:val="0"/>
          <w:color w:val="000000"/>
          <w:sz w:val="32"/>
        </w:rPr>
        <w:t>4.AI+X创新实验班学生能力画像与学年增值评价体系研究与实践</w:t>
      </w:r>
    </w:p>
    <w:p w14:paraId="3120E527">
      <w:pPr>
        <w:spacing w:before="0" w:after="0" w:line="560" w:lineRule="exact"/>
        <w:ind w:left="0" w:firstLine="640"/>
        <w:jc w:val="both"/>
      </w:pPr>
      <w:r>
        <w:rPr>
          <w:rFonts w:ascii="Times New Roman" w:hAnsi="Times New Roman" w:eastAsia="仿宋"/>
          <w:b w:val="0"/>
          <w:color w:val="000000"/>
          <w:sz w:val="32"/>
        </w:rPr>
        <w:t>5.人工智能驱动科学研究视域下AI+X拔尖创新人才早期科研训练机制研究</w:t>
      </w:r>
    </w:p>
    <w:p w14:paraId="12BE1EAD">
      <w:pPr>
        <w:spacing w:before="0" w:after="0" w:line="560" w:lineRule="exact"/>
        <w:ind w:left="0" w:firstLine="640"/>
        <w:jc w:val="both"/>
      </w:pPr>
      <w:r>
        <w:rPr>
          <w:rFonts w:ascii="Times New Roman" w:hAnsi="Times New Roman" w:eastAsia="仿宋"/>
          <w:b w:val="0"/>
          <w:color w:val="000000"/>
          <w:sz w:val="32"/>
        </w:rPr>
        <w:t>6.AI+X创新实验班多元导师制、个性化培养与学生发展支持体系研究</w:t>
      </w:r>
    </w:p>
    <w:p w14:paraId="02511979">
      <w:pPr>
        <w:pStyle w:val="4"/>
      </w:pPr>
      <w:r>
        <w:rPr>
          <w:rFonts w:ascii="Times New Roman" w:hAnsi="Times New Roman" w:eastAsia="楷体"/>
          <w:b/>
          <w:color w:val="000000"/>
          <w:sz w:val="32"/>
        </w:rPr>
        <w:t>（二）重点项目：未来课堂教学改革</w:t>
      </w:r>
    </w:p>
    <w:p w14:paraId="6549288F">
      <w:pPr>
        <w:spacing w:before="0" w:after="0" w:line="560" w:lineRule="exact"/>
        <w:ind w:left="0" w:firstLine="640"/>
        <w:jc w:val="both"/>
      </w:pPr>
      <w:r>
        <w:rPr>
          <w:rFonts w:ascii="Times New Roman" w:hAnsi="Times New Roman" w:eastAsia="仿宋"/>
          <w:b/>
          <w:color w:val="000000"/>
          <w:sz w:val="32"/>
        </w:rPr>
        <w:t>方向一：核心通识课程未来课堂</w:t>
      </w:r>
    </w:p>
    <w:p w14:paraId="6229458C">
      <w:pPr>
        <w:spacing w:before="0" w:after="0" w:line="560" w:lineRule="exact"/>
        <w:ind w:left="0" w:firstLine="640"/>
        <w:jc w:val="both"/>
      </w:pPr>
      <w:r>
        <w:rPr>
          <w:rFonts w:ascii="Times New Roman" w:hAnsi="Times New Roman" w:eastAsia="仿宋"/>
          <w:b w:val="0"/>
          <w:color w:val="000000"/>
          <w:sz w:val="32"/>
        </w:rPr>
        <w:t>1.面向差异化学情的核心通识课程</w:t>
      </w:r>
      <w:r>
        <w:rPr>
          <w:rFonts w:hint="eastAsia"/>
          <w:b w:val="0"/>
          <w:color w:val="000000"/>
          <w:sz w:val="32"/>
          <w:lang w:eastAsia="zh-CN"/>
        </w:rPr>
        <w:t>“</w:t>
      </w:r>
      <w:r>
        <w:rPr>
          <w:rFonts w:ascii="Times New Roman" w:hAnsi="Times New Roman" w:eastAsia="仿宋"/>
          <w:b w:val="0"/>
          <w:color w:val="000000"/>
          <w:sz w:val="32"/>
        </w:rPr>
        <w:t>诊</w:t>
      </w:r>
      <w:r>
        <w:rPr>
          <w:rFonts w:hint="eastAsia"/>
          <w:b w:val="0"/>
          <w:color w:val="000000"/>
          <w:sz w:val="32"/>
          <w:lang w:val="en-US" w:eastAsia="zh-CN"/>
        </w:rPr>
        <w:t>-</w:t>
      </w:r>
      <w:r>
        <w:rPr>
          <w:rFonts w:ascii="Times New Roman" w:hAnsi="Times New Roman" w:eastAsia="仿宋"/>
          <w:b w:val="0"/>
          <w:color w:val="000000"/>
          <w:sz w:val="32"/>
        </w:rPr>
        <w:t>学</w:t>
      </w:r>
      <w:r>
        <w:rPr>
          <w:rFonts w:hint="eastAsia"/>
          <w:b w:val="0"/>
          <w:color w:val="000000"/>
          <w:sz w:val="32"/>
          <w:lang w:val="en-US" w:eastAsia="zh-CN"/>
        </w:rPr>
        <w:t>-</w:t>
      </w:r>
      <w:r>
        <w:rPr>
          <w:rFonts w:ascii="Times New Roman" w:hAnsi="Times New Roman" w:eastAsia="仿宋"/>
          <w:b w:val="0"/>
          <w:color w:val="000000"/>
          <w:sz w:val="32"/>
        </w:rPr>
        <w:t>练</w:t>
      </w:r>
      <w:r>
        <w:rPr>
          <w:rFonts w:hint="eastAsia"/>
          <w:b w:val="0"/>
          <w:color w:val="000000"/>
          <w:sz w:val="32"/>
          <w:lang w:val="en-US" w:eastAsia="zh-CN"/>
        </w:rPr>
        <w:t>-</w:t>
      </w:r>
      <w:r>
        <w:rPr>
          <w:rFonts w:ascii="Times New Roman" w:hAnsi="Times New Roman" w:eastAsia="仿宋"/>
          <w:b w:val="0"/>
          <w:color w:val="000000"/>
          <w:sz w:val="32"/>
        </w:rPr>
        <w:t>评</w:t>
      </w:r>
      <w:r>
        <w:rPr>
          <w:rFonts w:hint="eastAsia"/>
          <w:b w:val="0"/>
          <w:color w:val="000000"/>
          <w:sz w:val="32"/>
          <w:lang w:eastAsia="zh-CN"/>
        </w:rPr>
        <w:t>”</w:t>
      </w:r>
      <w:r>
        <w:rPr>
          <w:rFonts w:ascii="Times New Roman" w:hAnsi="Times New Roman" w:eastAsia="仿宋"/>
          <w:b w:val="0"/>
          <w:color w:val="000000"/>
          <w:sz w:val="32"/>
        </w:rPr>
        <w:t>未来课堂改革与自主学习能力增值研究</w:t>
      </w:r>
    </w:p>
    <w:p w14:paraId="66CF597A">
      <w:pPr>
        <w:spacing w:before="0" w:after="0" w:line="560" w:lineRule="exact"/>
        <w:ind w:left="0" w:firstLine="640"/>
        <w:jc w:val="both"/>
      </w:pPr>
      <w:r>
        <w:rPr>
          <w:rFonts w:ascii="Times New Roman" w:hAnsi="Times New Roman" w:eastAsia="仿宋"/>
          <w:b w:val="0"/>
          <w:color w:val="000000"/>
          <w:sz w:val="32"/>
        </w:rPr>
        <w:t>2.人工智能陪练条件下学生独立思考与元认知能力培养的准实验研究</w:t>
      </w:r>
    </w:p>
    <w:p w14:paraId="04E1D499">
      <w:pPr>
        <w:spacing w:before="0" w:after="0" w:line="560" w:lineRule="exact"/>
        <w:ind w:left="0" w:firstLine="640"/>
        <w:jc w:val="both"/>
      </w:pPr>
      <w:r>
        <w:rPr>
          <w:rFonts w:ascii="Times New Roman" w:hAnsi="Times New Roman" w:eastAsia="仿宋"/>
          <w:b w:val="0"/>
          <w:color w:val="000000"/>
          <w:sz w:val="32"/>
        </w:rPr>
        <w:t>3.大规模通识课程中基于学习诊断的分层教学与批判性思维培养</w:t>
      </w:r>
    </w:p>
    <w:p w14:paraId="384C3756">
      <w:pPr>
        <w:spacing w:before="0" w:after="0" w:line="560" w:lineRule="exact"/>
        <w:ind w:left="0" w:firstLine="640"/>
        <w:jc w:val="both"/>
      </w:pPr>
      <w:r>
        <w:rPr>
          <w:rFonts w:ascii="Times New Roman" w:hAnsi="Times New Roman" w:eastAsia="仿宋"/>
          <w:b w:val="0"/>
          <w:color w:val="000000"/>
          <w:sz w:val="32"/>
        </w:rPr>
        <w:t>4.人工智能使用边界下通识课程学习责任与学术诚信养成研究</w:t>
      </w:r>
    </w:p>
    <w:p w14:paraId="1694597C">
      <w:pPr>
        <w:spacing w:before="0" w:after="0" w:line="560" w:lineRule="exact"/>
        <w:ind w:left="0" w:firstLine="640"/>
        <w:jc w:val="both"/>
      </w:pPr>
      <w:r>
        <w:rPr>
          <w:rFonts w:ascii="Times New Roman" w:hAnsi="Times New Roman" w:eastAsia="仿宋"/>
          <w:b/>
          <w:color w:val="000000"/>
          <w:sz w:val="32"/>
        </w:rPr>
        <w:t>方向二：专业基础课未来课堂</w:t>
      </w:r>
    </w:p>
    <w:p w14:paraId="0D51C424">
      <w:pPr>
        <w:spacing w:before="0" w:after="0" w:line="560" w:lineRule="exact"/>
        <w:ind w:left="0" w:firstLine="640"/>
        <w:jc w:val="both"/>
      </w:pPr>
      <w:r>
        <w:rPr>
          <w:rFonts w:ascii="Times New Roman" w:hAnsi="Times New Roman" w:eastAsia="仿宋"/>
          <w:b w:val="0"/>
          <w:color w:val="000000"/>
          <w:sz w:val="32"/>
        </w:rPr>
        <w:t>1.</w:t>
      </w:r>
      <w:r>
        <w:rPr>
          <w:rFonts w:hint="eastAsia"/>
          <w:b w:val="0"/>
          <w:color w:val="000000"/>
          <w:sz w:val="32"/>
          <w:lang w:eastAsia="zh-CN"/>
        </w:rPr>
        <w:t>“</w:t>
      </w:r>
      <w:r>
        <w:rPr>
          <w:rFonts w:ascii="Times New Roman" w:hAnsi="Times New Roman" w:eastAsia="仿宋"/>
          <w:b w:val="0"/>
          <w:color w:val="000000"/>
          <w:sz w:val="32"/>
        </w:rPr>
        <w:t>一题多解</w:t>
      </w:r>
      <w:r>
        <w:rPr>
          <w:rFonts w:hint="eastAsia"/>
          <w:b w:val="0"/>
          <w:color w:val="000000"/>
          <w:sz w:val="32"/>
          <w:lang w:val="en-US" w:eastAsia="zh-CN"/>
        </w:rPr>
        <w:t>-</w:t>
      </w:r>
      <w:r>
        <w:rPr>
          <w:rFonts w:ascii="Times New Roman" w:hAnsi="Times New Roman" w:eastAsia="仿宋"/>
          <w:b w:val="0"/>
          <w:color w:val="000000"/>
          <w:sz w:val="32"/>
        </w:rPr>
        <w:t>辨析纠错</w:t>
      </w:r>
      <w:r>
        <w:rPr>
          <w:rFonts w:hint="eastAsia"/>
          <w:b w:val="0"/>
          <w:color w:val="000000"/>
          <w:sz w:val="32"/>
          <w:lang w:val="en-US" w:eastAsia="zh-CN"/>
        </w:rPr>
        <w:t>-</w:t>
      </w:r>
      <w:r>
        <w:rPr>
          <w:rFonts w:ascii="Times New Roman" w:hAnsi="Times New Roman" w:eastAsia="仿宋"/>
          <w:b w:val="0"/>
          <w:color w:val="000000"/>
          <w:sz w:val="32"/>
        </w:rPr>
        <w:t>方法迁移</w:t>
      </w:r>
      <w:r>
        <w:rPr>
          <w:rFonts w:hint="eastAsia"/>
          <w:b w:val="0"/>
          <w:color w:val="000000"/>
          <w:sz w:val="32"/>
          <w:lang w:eastAsia="zh-CN"/>
        </w:rPr>
        <w:t>”</w:t>
      </w:r>
      <w:r>
        <w:rPr>
          <w:rFonts w:ascii="Times New Roman" w:hAnsi="Times New Roman" w:eastAsia="仿宋"/>
          <w:b w:val="0"/>
          <w:color w:val="000000"/>
          <w:sz w:val="32"/>
        </w:rPr>
        <w:t>驱动的专业基础课批判性思维培养研究</w:t>
      </w:r>
    </w:p>
    <w:p w14:paraId="18AB0204">
      <w:pPr>
        <w:spacing w:before="0" w:after="0" w:line="560" w:lineRule="exact"/>
        <w:ind w:left="0" w:firstLine="640"/>
        <w:jc w:val="both"/>
      </w:pPr>
      <w:r>
        <w:rPr>
          <w:rFonts w:ascii="Times New Roman" w:hAnsi="Times New Roman" w:eastAsia="仿宋"/>
          <w:b w:val="0"/>
          <w:color w:val="000000"/>
          <w:sz w:val="32"/>
        </w:rPr>
        <w:t>2.人工智能生成多解与典型错误支持学生判断能力发展的课堂实验</w:t>
      </w:r>
    </w:p>
    <w:p w14:paraId="1063FE34">
      <w:pPr>
        <w:spacing w:before="0" w:after="0" w:line="560" w:lineRule="exact"/>
        <w:ind w:left="0" w:firstLine="640"/>
        <w:jc w:val="both"/>
      </w:pPr>
      <w:r>
        <w:rPr>
          <w:rFonts w:ascii="Times New Roman" w:hAnsi="Times New Roman" w:eastAsia="仿宋"/>
          <w:b w:val="0"/>
          <w:color w:val="000000"/>
          <w:sz w:val="32"/>
        </w:rPr>
        <w:t>3.从解题训练到模型建构：专业基础课问题定义与建模能力培养研究</w:t>
      </w:r>
    </w:p>
    <w:p w14:paraId="662B6D65">
      <w:pPr>
        <w:spacing w:before="0" w:after="0" w:line="560" w:lineRule="exact"/>
        <w:ind w:left="0" w:firstLine="640"/>
        <w:jc w:val="both"/>
      </w:pPr>
      <w:r>
        <w:rPr>
          <w:rFonts w:ascii="Times New Roman" w:hAnsi="Times New Roman" w:eastAsia="仿宋"/>
          <w:b w:val="0"/>
          <w:color w:val="000000"/>
          <w:sz w:val="32"/>
        </w:rPr>
        <w:t>4.基于知识结构化的专业基础课知识整合与迁移能力培养</w:t>
      </w:r>
    </w:p>
    <w:p w14:paraId="73722D0A">
      <w:pPr>
        <w:spacing w:before="0" w:after="0" w:line="560" w:lineRule="exact"/>
        <w:ind w:left="0" w:firstLine="640"/>
        <w:jc w:val="both"/>
      </w:pPr>
      <w:r>
        <w:rPr>
          <w:rFonts w:ascii="Times New Roman" w:hAnsi="Times New Roman" w:eastAsia="仿宋"/>
          <w:b/>
          <w:color w:val="000000"/>
          <w:sz w:val="32"/>
        </w:rPr>
        <w:t>方向三：专业核心课未来课堂</w:t>
      </w:r>
    </w:p>
    <w:p w14:paraId="48ED85E6">
      <w:pPr>
        <w:spacing w:before="0" w:after="0" w:line="560" w:lineRule="exact"/>
        <w:ind w:left="0" w:firstLine="640"/>
        <w:jc w:val="both"/>
      </w:pPr>
      <w:r>
        <w:rPr>
          <w:rFonts w:ascii="Times New Roman" w:hAnsi="Times New Roman" w:eastAsia="仿宋"/>
          <w:b w:val="0"/>
          <w:color w:val="000000"/>
          <w:sz w:val="32"/>
        </w:rPr>
        <w:t>1.真实复杂问题驱动的专业核心课</w:t>
      </w:r>
      <w:r>
        <w:rPr>
          <w:rFonts w:hint="eastAsia"/>
          <w:b w:val="0"/>
          <w:color w:val="000000"/>
          <w:sz w:val="32"/>
          <w:lang w:eastAsia="zh-CN"/>
        </w:rPr>
        <w:t>“</w:t>
      </w:r>
      <w:r>
        <w:rPr>
          <w:rFonts w:ascii="Times New Roman" w:hAnsi="Times New Roman" w:eastAsia="仿宋"/>
          <w:b w:val="0"/>
          <w:color w:val="000000"/>
          <w:sz w:val="32"/>
        </w:rPr>
        <w:t>立题—质疑—创构—验证</w:t>
      </w:r>
      <w:r>
        <w:rPr>
          <w:rFonts w:hint="eastAsia"/>
          <w:b w:val="0"/>
          <w:color w:val="000000"/>
          <w:sz w:val="32"/>
          <w:lang w:eastAsia="zh-CN"/>
        </w:rPr>
        <w:t>”</w:t>
      </w:r>
      <w:r>
        <w:rPr>
          <w:rFonts w:ascii="Times New Roman" w:hAnsi="Times New Roman" w:eastAsia="仿宋"/>
          <w:b w:val="0"/>
          <w:color w:val="000000"/>
          <w:sz w:val="32"/>
        </w:rPr>
        <w:t>未来课堂改革</w:t>
      </w:r>
    </w:p>
    <w:p w14:paraId="3B5665E4">
      <w:pPr>
        <w:spacing w:before="0" w:after="0" w:line="560" w:lineRule="exact"/>
        <w:ind w:left="0" w:firstLine="640"/>
        <w:jc w:val="both"/>
      </w:pPr>
      <w:r>
        <w:rPr>
          <w:rFonts w:ascii="Times New Roman" w:hAnsi="Times New Roman" w:eastAsia="仿宋"/>
          <w:b w:val="0"/>
          <w:color w:val="000000"/>
          <w:sz w:val="32"/>
        </w:rPr>
        <w:t>2.人机对抗式课堂：人工智能生成方案、学生质疑与优化的教学实验</w:t>
      </w:r>
    </w:p>
    <w:p w14:paraId="430568F7">
      <w:pPr>
        <w:spacing w:before="0" w:after="0" w:line="560" w:lineRule="exact"/>
        <w:ind w:left="0" w:firstLine="640"/>
        <w:jc w:val="both"/>
      </w:pPr>
      <w:r>
        <w:rPr>
          <w:rFonts w:ascii="Times New Roman" w:hAnsi="Times New Roman" w:eastAsia="仿宋"/>
          <w:b w:val="0"/>
          <w:color w:val="000000"/>
          <w:sz w:val="32"/>
        </w:rPr>
        <w:t>3.产业真实项目转化为专业核心课学习任务的设计实践与创新能力培养</w:t>
      </w:r>
    </w:p>
    <w:p w14:paraId="70EFDB61">
      <w:pPr>
        <w:spacing w:before="0" w:after="0" w:line="560" w:lineRule="exact"/>
        <w:ind w:left="0" w:firstLine="640"/>
        <w:jc w:val="both"/>
      </w:pPr>
      <w:r>
        <w:rPr>
          <w:rFonts w:ascii="Times New Roman" w:hAnsi="Times New Roman" w:eastAsia="仿宋"/>
          <w:b w:val="0"/>
          <w:color w:val="000000"/>
          <w:sz w:val="32"/>
        </w:rPr>
        <w:t>4.工程伦理与价值判断融入复杂工程决策的专业核心课教学改革</w:t>
      </w:r>
    </w:p>
    <w:p w14:paraId="610DA778">
      <w:pPr>
        <w:spacing w:before="0" w:after="0" w:line="560" w:lineRule="exact"/>
        <w:ind w:left="0" w:firstLine="640"/>
        <w:jc w:val="both"/>
      </w:pPr>
      <w:r>
        <w:rPr>
          <w:rFonts w:ascii="Times New Roman" w:hAnsi="Times New Roman" w:eastAsia="仿宋"/>
          <w:b w:val="0"/>
          <w:color w:val="000000"/>
          <w:sz w:val="32"/>
        </w:rPr>
        <w:t>5.校企双导师支持下专业核心课项目制教学与工程决策能力培养</w:t>
      </w:r>
    </w:p>
    <w:p w14:paraId="7FEFEFBA">
      <w:pPr>
        <w:spacing w:before="0" w:after="0" w:line="560" w:lineRule="exact"/>
        <w:ind w:left="0" w:firstLine="640"/>
        <w:jc w:val="both"/>
      </w:pPr>
      <w:r>
        <w:rPr>
          <w:rFonts w:ascii="Times New Roman" w:hAnsi="Times New Roman" w:eastAsia="仿宋"/>
          <w:b/>
          <w:color w:val="000000"/>
          <w:sz w:val="32"/>
        </w:rPr>
        <w:t>方向四：核心能力测评与学习评价改革</w:t>
      </w:r>
    </w:p>
    <w:p w14:paraId="0C7EE27B">
      <w:pPr>
        <w:spacing w:before="0" w:after="0" w:line="560" w:lineRule="exact"/>
        <w:ind w:left="0" w:firstLine="640"/>
        <w:jc w:val="both"/>
      </w:pPr>
      <w:r>
        <w:rPr>
          <w:rFonts w:ascii="Times New Roman" w:hAnsi="Times New Roman" w:eastAsia="仿宋"/>
          <w:b w:val="0"/>
          <w:color w:val="000000"/>
          <w:sz w:val="32"/>
        </w:rPr>
        <w:t>1.复杂问题发现与定义能力的表现性评价任务与量规开发</w:t>
      </w:r>
    </w:p>
    <w:p w14:paraId="5DA2EBB9">
      <w:pPr>
        <w:spacing w:before="0" w:after="0" w:line="560" w:lineRule="exact"/>
        <w:ind w:left="0" w:firstLine="640"/>
        <w:jc w:val="both"/>
      </w:pPr>
      <w:r>
        <w:rPr>
          <w:rFonts w:ascii="Times New Roman" w:hAnsi="Times New Roman" w:eastAsia="仿宋"/>
          <w:b w:val="0"/>
          <w:color w:val="000000"/>
          <w:sz w:val="32"/>
        </w:rPr>
        <w:t>2.人机协作条件下学生独立思考与问题解决能力评价方法研究</w:t>
      </w:r>
    </w:p>
    <w:p w14:paraId="399EF70B">
      <w:pPr>
        <w:spacing w:before="0" w:after="0" w:line="560" w:lineRule="exact"/>
        <w:ind w:left="0" w:firstLine="640"/>
        <w:jc w:val="both"/>
      </w:pPr>
      <w:r>
        <w:rPr>
          <w:rFonts w:ascii="Times New Roman" w:hAnsi="Times New Roman" w:eastAsia="仿宋"/>
          <w:b w:val="0"/>
          <w:color w:val="000000"/>
          <w:sz w:val="32"/>
        </w:rPr>
        <w:t>3.批判性思维与判断能力的课程嵌入式测评与增值评价研究</w:t>
      </w:r>
    </w:p>
    <w:p w14:paraId="56A78462">
      <w:pPr>
        <w:spacing w:before="0" w:after="0" w:line="560" w:lineRule="exact"/>
        <w:ind w:left="0" w:firstLine="640"/>
        <w:jc w:val="both"/>
      </w:pPr>
      <w:r>
        <w:rPr>
          <w:rFonts w:ascii="Times New Roman" w:hAnsi="Times New Roman" w:eastAsia="仿宋"/>
          <w:b w:val="0"/>
          <w:color w:val="000000"/>
          <w:sz w:val="32"/>
        </w:rPr>
        <w:t>4.基于代表性学习成果档案的学生核心能力画像研究</w:t>
      </w:r>
    </w:p>
    <w:p w14:paraId="779488CB">
      <w:pPr>
        <w:spacing w:before="0" w:after="0" w:line="560" w:lineRule="exact"/>
        <w:ind w:left="0" w:firstLine="640"/>
        <w:jc w:val="both"/>
      </w:pPr>
      <w:r>
        <w:rPr>
          <w:rFonts w:ascii="Times New Roman" w:hAnsi="Times New Roman" w:eastAsia="仿宋"/>
          <w:b w:val="0"/>
          <w:color w:val="000000"/>
          <w:sz w:val="32"/>
        </w:rPr>
        <w:t>5.人工智能辅助评价中的教师专业判断、评价公平与伦理边界研究</w:t>
      </w:r>
    </w:p>
    <w:p w14:paraId="0230C041">
      <w:pPr>
        <w:pStyle w:val="4"/>
      </w:pPr>
      <w:r>
        <w:rPr>
          <w:rFonts w:ascii="Times New Roman" w:hAnsi="Times New Roman" w:eastAsia="楷体"/>
          <w:b/>
          <w:color w:val="000000"/>
          <w:sz w:val="32"/>
        </w:rPr>
        <w:t>（三）一般项目：课程教学创新</w:t>
      </w:r>
    </w:p>
    <w:p w14:paraId="1074EDA1">
      <w:pPr>
        <w:spacing w:before="0" w:after="0" w:line="560" w:lineRule="exact"/>
        <w:ind w:left="0" w:firstLine="640"/>
        <w:jc w:val="both"/>
      </w:pPr>
      <w:r>
        <w:rPr>
          <w:rFonts w:ascii="Times New Roman" w:hAnsi="Times New Roman" w:eastAsia="仿宋"/>
          <w:b w:val="0"/>
          <w:color w:val="000000"/>
          <w:sz w:val="32"/>
        </w:rPr>
        <w:t>1.引导学生提出高质量问题的课堂提问与问题定义训练</w:t>
      </w:r>
    </w:p>
    <w:p w14:paraId="091EDD60">
      <w:pPr>
        <w:spacing w:before="0" w:after="0" w:line="560" w:lineRule="exact"/>
        <w:ind w:left="0" w:firstLine="640"/>
        <w:jc w:val="both"/>
      </w:pPr>
      <w:r>
        <w:rPr>
          <w:rFonts w:ascii="Times New Roman" w:hAnsi="Times New Roman" w:eastAsia="仿宋"/>
          <w:b w:val="0"/>
          <w:color w:val="000000"/>
          <w:sz w:val="32"/>
        </w:rPr>
        <w:t>2.跨课程、跨专业学生团队项目学习与知识整合能力培养</w:t>
      </w:r>
    </w:p>
    <w:p w14:paraId="59B9C199">
      <w:pPr>
        <w:spacing w:before="0" w:after="0" w:line="560" w:lineRule="exact"/>
        <w:ind w:left="0" w:firstLine="640"/>
        <w:jc w:val="both"/>
      </w:pPr>
      <w:r>
        <w:rPr>
          <w:rFonts w:ascii="Times New Roman" w:hAnsi="Times New Roman" w:eastAsia="仿宋"/>
          <w:b w:val="0"/>
          <w:color w:val="000000"/>
          <w:sz w:val="32"/>
        </w:rPr>
        <w:t>3.大模型辅助真实案例开发、证据核验与课堂讨论的教学实践</w:t>
      </w:r>
    </w:p>
    <w:p w14:paraId="7B306CF1">
      <w:pPr>
        <w:spacing w:before="0" w:after="0" w:line="560" w:lineRule="exact"/>
        <w:ind w:left="0" w:firstLine="640"/>
        <w:jc w:val="both"/>
      </w:pPr>
      <w:r>
        <w:rPr>
          <w:rFonts w:ascii="Times New Roman" w:hAnsi="Times New Roman" w:eastAsia="仿宋"/>
          <w:b w:val="0"/>
          <w:color w:val="000000"/>
          <w:sz w:val="32"/>
        </w:rPr>
        <w:t>4.面向思辨能力培养的研讨式教学与论证性写作改革</w:t>
      </w:r>
    </w:p>
    <w:p w14:paraId="1B27BE5D">
      <w:pPr>
        <w:spacing w:before="0" w:after="0" w:line="560" w:lineRule="exact"/>
        <w:ind w:left="0" w:firstLine="640"/>
        <w:jc w:val="both"/>
      </w:pPr>
      <w:r>
        <w:rPr>
          <w:rFonts w:ascii="Times New Roman" w:hAnsi="Times New Roman" w:eastAsia="仿宋"/>
          <w:b w:val="0"/>
          <w:color w:val="000000"/>
          <w:sz w:val="32"/>
        </w:rPr>
        <w:t>5.课程作业中的人机分工、提问迭代与结果核验训练</w:t>
      </w:r>
    </w:p>
    <w:p w14:paraId="7BBC80EC">
      <w:pPr>
        <w:spacing w:before="0" w:after="0" w:line="560" w:lineRule="exact"/>
        <w:ind w:left="0" w:firstLine="640"/>
        <w:jc w:val="both"/>
      </w:pPr>
      <w:r>
        <w:rPr>
          <w:rFonts w:ascii="Times New Roman" w:hAnsi="Times New Roman" w:eastAsia="仿宋"/>
          <w:b w:val="0"/>
          <w:color w:val="000000"/>
          <w:sz w:val="32"/>
        </w:rPr>
        <w:t>6.教学智能体支持课程预习、课堂研讨与课后辅导的协同教学实践</w:t>
      </w:r>
    </w:p>
    <w:p w14:paraId="39249B06">
      <w:pPr>
        <w:spacing w:before="0" w:after="0" w:line="560" w:lineRule="exact"/>
        <w:ind w:left="0" w:firstLine="640"/>
        <w:jc w:val="both"/>
      </w:pPr>
      <w:r>
        <w:rPr>
          <w:rFonts w:ascii="Times New Roman" w:hAnsi="Times New Roman" w:eastAsia="仿宋"/>
          <w:b w:val="0"/>
          <w:color w:val="000000"/>
          <w:sz w:val="32"/>
        </w:rPr>
        <w:t>7.真实项目驱动的项目化课程教学改革与设计实践能力培养</w:t>
      </w:r>
    </w:p>
    <w:p w14:paraId="1056287F">
      <w:pPr>
        <w:spacing w:before="0" w:after="0" w:line="560" w:lineRule="exact"/>
        <w:ind w:left="0" w:firstLine="640"/>
        <w:jc w:val="both"/>
      </w:pPr>
      <w:r>
        <w:rPr>
          <w:rFonts w:ascii="Times New Roman" w:hAnsi="Times New Roman" w:eastAsia="仿宋"/>
          <w:b w:val="0"/>
          <w:color w:val="000000"/>
          <w:sz w:val="32"/>
        </w:rPr>
        <w:t>8.人工智能使用规则、引用规范与学生人工智能素养融入课程教学的实践</w:t>
      </w:r>
    </w:p>
    <w:p w14:paraId="61810614">
      <w:pPr>
        <w:spacing w:before="0" w:after="0" w:line="560" w:lineRule="exact"/>
        <w:ind w:left="0" w:firstLine="640"/>
        <w:jc w:val="both"/>
      </w:pPr>
      <w:r>
        <w:rPr>
          <w:rFonts w:ascii="Times New Roman" w:hAnsi="Times New Roman" w:eastAsia="仿宋"/>
          <w:b w:val="0"/>
          <w:color w:val="000000"/>
          <w:sz w:val="32"/>
        </w:rPr>
        <w:t>9.生成式人工智能环境下课程作业设计与学术诚信机制改革</w:t>
      </w:r>
    </w:p>
    <w:p w14:paraId="0ADE0820">
      <w:pPr>
        <w:spacing w:before="0" w:after="0" w:line="560" w:lineRule="exact"/>
        <w:ind w:left="0" w:firstLine="640"/>
        <w:jc w:val="both"/>
      </w:pPr>
      <w:r>
        <w:rPr>
          <w:rFonts w:ascii="Times New Roman" w:hAnsi="Times New Roman" w:eastAsia="仿宋"/>
          <w:b w:val="0"/>
          <w:color w:val="000000"/>
          <w:sz w:val="32"/>
        </w:rPr>
        <w:t>10.基于学习过程数据的学习支持与自我调节学习能力培养</w:t>
      </w:r>
    </w:p>
    <w:p w14:paraId="5A3E4F16">
      <w:pPr>
        <w:spacing w:before="0" w:after="0" w:line="560" w:lineRule="exact"/>
        <w:ind w:left="0" w:firstLine="640"/>
        <w:jc w:val="both"/>
      </w:pPr>
      <w:r>
        <w:rPr>
          <w:rFonts w:ascii="Times New Roman" w:hAnsi="Times New Roman" w:eastAsia="仿宋"/>
          <w:b w:val="0"/>
          <w:color w:val="000000"/>
          <w:sz w:val="32"/>
        </w:rPr>
        <w:t>11.面向表达与协作能力的课堂答辩和同伴互评改革</w:t>
      </w:r>
    </w:p>
    <w:p w14:paraId="67B0CBE3">
      <w:pPr>
        <w:spacing w:before="0" w:after="0" w:line="560" w:lineRule="exact"/>
        <w:ind w:left="0" w:firstLine="640"/>
        <w:jc w:val="both"/>
        <w:rPr>
          <w:rFonts w:ascii="Times New Roman" w:hAnsi="Times New Roman" w:eastAsia="仿宋"/>
          <w:b w:val="0"/>
          <w:color w:val="000000"/>
          <w:sz w:val="32"/>
        </w:rPr>
      </w:pPr>
      <w:r>
        <w:rPr>
          <w:rFonts w:ascii="Times New Roman" w:hAnsi="Times New Roman" w:eastAsia="仿宋"/>
          <w:b w:val="0"/>
          <w:color w:val="000000"/>
          <w:sz w:val="32"/>
        </w:rPr>
        <w:t>12.基于课程能力图谱的教学目标、内容模块与学习任务协同重构</w:t>
      </w:r>
    </w:p>
    <w:p w14:paraId="47C6015F">
      <w:pPr>
        <w:spacing w:before="0" w:after="0" w:line="560" w:lineRule="exact"/>
        <w:ind w:left="0" w:firstLine="640"/>
        <w:jc w:val="both"/>
        <w:rPr>
          <w:rFonts w:hint="eastAsia"/>
          <w:color w:val="000000"/>
        </w:rPr>
      </w:pPr>
      <w:r>
        <w:rPr>
          <w:rFonts w:hint="eastAsia"/>
          <w:color w:val="000000"/>
          <w:lang w:val="en-US" w:eastAsia="zh-CN"/>
        </w:rPr>
        <w:t>13.</w:t>
      </w:r>
      <w:r>
        <w:rPr>
          <w:rFonts w:hint="eastAsia"/>
          <w:color w:val="000000"/>
        </w:rPr>
        <w:t>习近平党建思想</w:t>
      </w:r>
      <w:r>
        <w:rPr>
          <w:rFonts w:hint="eastAsia"/>
          <w:color w:val="000000"/>
          <w:lang w:val="en-US" w:eastAsia="zh-CN"/>
        </w:rPr>
        <w:t>引领</w:t>
      </w:r>
      <w:r>
        <w:rPr>
          <w:rFonts w:hint="eastAsia"/>
          <w:color w:val="000000"/>
        </w:rPr>
        <w:t>高校</w:t>
      </w:r>
      <w:r>
        <w:rPr>
          <w:rFonts w:hint="eastAsia"/>
          <w:color w:val="000000"/>
          <w:lang w:eastAsia="zh-CN"/>
        </w:rPr>
        <w:t>“</w:t>
      </w:r>
      <w:r>
        <w:rPr>
          <w:rFonts w:hint="eastAsia"/>
          <w:color w:val="000000"/>
        </w:rPr>
        <w:t>大思政课</w:t>
      </w:r>
      <w:r>
        <w:rPr>
          <w:rFonts w:hint="eastAsia"/>
          <w:color w:val="000000"/>
          <w:lang w:eastAsia="zh-CN"/>
        </w:rPr>
        <w:t>”</w:t>
      </w:r>
      <w:r>
        <w:rPr>
          <w:rFonts w:hint="eastAsia"/>
          <w:color w:val="000000"/>
        </w:rPr>
        <w:t>建设的路径与机制研究</w:t>
      </w:r>
    </w:p>
    <w:p w14:paraId="686292DF">
      <w:pPr>
        <w:spacing w:before="0" w:after="0" w:line="560" w:lineRule="exact"/>
        <w:ind w:left="0" w:firstLine="640"/>
        <w:jc w:val="both"/>
        <w:rPr>
          <w:rFonts w:hint="eastAsia"/>
          <w:color w:val="000000"/>
        </w:rPr>
      </w:pPr>
      <w:r>
        <w:rPr>
          <w:rFonts w:hint="eastAsia"/>
          <w:color w:val="000000"/>
          <w:lang w:val="en-US" w:eastAsia="zh-CN"/>
        </w:rPr>
        <w:t>14.</w:t>
      </w:r>
      <w:r>
        <w:rPr>
          <w:rFonts w:hint="eastAsia"/>
          <w:color w:val="000000"/>
        </w:rPr>
        <w:t>数智赋能习近平党建思想专题教学的改革与探索</w:t>
      </w:r>
    </w:p>
    <w:p w14:paraId="56FCC305">
      <w:pPr>
        <w:spacing w:before="0" w:after="0" w:line="560" w:lineRule="exact"/>
        <w:ind w:left="0" w:firstLine="640"/>
        <w:jc w:val="both"/>
        <w:rPr>
          <w:rFonts w:hint="eastAsia" w:ascii="Times New Roman" w:hAnsi="Times New Roman" w:eastAsia="仿宋"/>
          <w:b w:val="0"/>
          <w:color w:val="000000"/>
          <w:sz w:val="32"/>
        </w:rPr>
      </w:pPr>
      <w:r>
        <w:rPr>
          <w:rFonts w:hint="eastAsia"/>
          <w:b w:val="0"/>
          <w:color w:val="000000"/>
          <w:sz w:val="32"/>
          <w:lang w:val="en-US" w:eastAsia="zh-CN"/>
        </w:rPr>
        <w:t>15.</w:t>
      </w:r>
      <w:r>
        <w:rPr>
          <w:rFonts w:hint="eastAsia" w:ascii="Times New Roman" w:hAnsi="Times New Roman" w:eastAsia="仿宋"/>
          <w:b w:val="0"/>
          <w:color w:val="000000"/>
          <w:sz w:val="32"/>
        </w:rPr>
        <w:t>新时代高校课程思政教学模式创新探索</w:t>
      </w:r>
    </w:p>
    <w:p w14:paraId="253987D7">
      <w:pPr>
        <w:spacing w:after="0" w:line="560" w:lineRule="exact"/>
        <w:ind w:firstLine="640"/>
        <w:jc w:val="both"/>
        <w:rPr>
          <w:rFonts w:ascii="Times New Roman" w:hAnsi="Times New Roman" w:eastAsia="仿宋"/>
          <w:b w:val="0"/>
          <w:color w:val="000000"/>
          <w:sz w:val="32"/>
        </w:rPr>
      </w:pPr>
      <w:r>
        <w:rPr>
          <w:rFonts w:hint="eastAsia" w:ascii="Times New Roman" w:hAnsi="Times New Roman" w:eastAsia="仿宋"/>
          <w:b w:val="0"/>
          <w:color w:val="000000"/>
          <w:sz w:val="32"/>
          <w:lang w:eastAsia="zh-CN"/>
        </w:rPr>
        <w:t>以上参考选题用于引导改革方向，不作为限定性题目。申报人可结合学院、专业和课程实际自主凝练项目名称，但应符合项目类别定位和本指南的要求。</w:t>
      </w:r>
    </w:p>
    <w:p w14:paraId="3B816FE1">
      <w:pPr>
        <w:pStyle w:val="3"/>
        <w:rPr>
          <w:rFonts w:ascii="Times New Roman" w:hAnsi="Times New Roman" w:eastAsia="黑体"/>
          <w:b w:val="0"/>
          <w:color w:val="000000"/>
          <w:sz w:val="24"/>
        </w:rPr>
      </w:pPr>
      <w:r>
        <w:rPr>
          <w:rFonts w:ascii="Times New Roman" w:hAnsi="Times New Roman" w:eastAsia="黑体"/>
          <w:b w:val="0"/>
          <w:color w:val="000000"/>
          <w:sz w:val="32"/>
        </w:rPr>
        <w:t>六、评审标准</w:t>
      </w:r>
    </w:p>
    <w:p w14:paraId="7647F10F">
      <w:pPr>
        <w:keepNext/>
        <w:spacing w:before="120" w:after="60" w:line="480" w:lineRule="exact"/>
        <w:ind w:left="0" w:firstLine="0"/>
        <w:jc w:val="center"/>
      </w:pPr>
      <w:r>
        <w:rPr>
          <w:rFonts w:ascii="Times New Roman" w:hAnsi="Times New Roman" w:eastAsia="黑体"/>
          <w:b w:val="0"/>
          <w:color w:val="000000"/>
          <w:sz w:val="24"/>
        </w:rPr>
        <w:t>项目评审标准</w:t>
      </w:r>
    </w:p>
    <w:tbl>
      <w:tblPr>
        <w:tblStyle w:val="32"/>
        <w:tblW w:w="884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381"/>
        <w:gridCol w:w="907"/>
        <w:gridCol w:w="5556"/>
      </w:tblGrid>
      <w:tr w14:paraId="6BE5D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2381" w:type="dxa"/>
            <w:vAlign w:val="center"/>
          </w:tcPr>
          <w:p w14:paraId="4A0E3624">
            <w:pPr>
              <w:spacing w:before="20" w:after="20" w:line="320" w:lineRule="exact"/>
              <w:ind w:firstLine="0"/>
              <w:jc w:val="center"/>
            </w:pPr>
            <w:r>
              <w:rPr>
                <w:rFonts w:ascii="Times New Roman" w:hAnsi="Times New Roman" w:eastAsia="黑体"/>
                <w:b w:val="0"/>
                <w:color w:val="000000"/>
                <w:sz w:val="21"/>
              </w:rPr>
              <w:t>评审维度</w:t>
            </w:r>
          </w:p>
        </w:tc>
        <w:tc>
          <w:tcPr>
            <w:tcW w:w="907" w:type="dxa"/>
            <w:vAlign w:val="center"/>
          </w:tcPr>
          <w:p w14:paraId="67AD13E2">
            <w:pPr>
              <w:spacing w:before="20" w:after="20" w:line="320" w:lineRule="exact"/>
              <w:ind w:firstLine="0"/>
              <w:jc w:val="center"/>
            </w:pPr>
            <w:r>
              <w:rPr>
                <w:rFonts w:ascii="Times New Roman" w:hAnsi="Times New Roman" w:eastAsia="黑体"/>
                <w:b w:val="0"/>
                <w:color w:val="000000"/>
                <w:sz w:val="21"/>
              </w:rPr>
              <w:t>权重</w:t>
            </w:r>
          </w:p>
        </w:tc>
        <w:tc>
          <w:tcPr>
            <w:tcW w:w="5556" w:type="dxa"/>
            <w:vAlign w:val="center"/>
          </w:tcPr>
          <w:p w14:paraId="089D9341">
            <w:pPr>
              <w:spacing w:before="20" w:after="20" w:line="320" w:lineRule="exact"/>
              <w:ind w:firstLine="0"/>
              <w:jc w:val="center"/>
            </w:pPr>
            <w:r>
              <w:rPr>
                <w:rFonts w:ascii="Times New Roman" w:hAnsi="Times New Roman" w:eastAsia="黑体"/>
                <w:b w:val="0"/>
                <w:color w:val="000000"/>
                <w:sz w:val="21"/>
              </w:rPr>
              <w:t>主要考察</w:t>
            </w:r>
          </w:p>
        </w:tc>
      </w:tr>
      <w:tr w14:paraId="0244F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1" w:type="dxa"/>
            <w:vAlign w:val="center"/>
          </w:tcPr>
          <w:p w14:paraId="36796C00">
            <w:pPr>
              <w:spacing w:before="20" w:after="20" w:line="320" w:lineRule="exact"/>
              <w:ind w:firstLine="0"/>
              <w:jc w:val="left"/>
            </w:pPr>
            <w:r>
              <w:rPr>
                <w:rFonts w:ascii="Times New Roman" w:hAnsi="Times New Roman" w:eastAsia="仿宋"/>
                <w:b w:val="0"/>
                <w:color w:val="000000"/>
                <w:sz w:val="21"/>
              </w:rPr>
              <w:t>真实问题与能力目标</w:t>
            </w:r>
          </w:p>
        </w:tc>
        <w:tc>
          <w:tcPr>
            <w:tcW w:w="907" w:type="dxa"/>
            <w:vAlign w:val="center"/>
          </w:tcPr>
          <w:p w14:paraId="69287E75">
            <w:pPr>
              <w:spacing w:before="20" w:after="20" w:line="320" w:lineRule="exact"/>
              <w:ind w:firstLine="0"/>
              <w:jc w:val="center"/>
            </w:pPr>
            <w:r>
              <w:rPr>
                <w:rFonts w:ascii="Times New Roman" w:hAnsi="Times New Roman" w:eastAsia="仿宋"/>
                <w:b w:val="0"/>
                <w:color w:val="000000"/>
                <w:sz w:val="21"/>
              </w:rPr>
              <w:t>20%</w:t>
            </w:r>
          </w:p>
        </w:tc>
        <w:tc>
          <w:tcPr>
            <w:tcW w:w="5556" w:type="dxa"/>
            <w:vAlign w:val="center"/>
          </w:tcPr>
          <w:p w14:paraId="25B38DAB">
            <w:pPr>
              <w:spacing w:before="20" w:after="20" w:line="320" w:lineRule="exact"/>
              <w:ind w:firstLine="0"/>
              <w:jc w:val="left"/>
            </w:pPr>
            <w:r>
              <w:rPr>
                <w:rFonts w:ascii="Times New Roman" w:hAnsi="Times New Roman" w:eastAsia="仿宋"/>
                <w:b w:val="0"/>
                <w:color w:val="000000"/>
                <w:sz w:val="21"/>
              </w:rPr>
              <w:t>教学问题是否真实具体，主攻能力是否明确，是否有可观察的表现指标和基线</w:t>
            </w:r>
          </w:p>
        </w:tc>
      </w:tr>
      <w:tr w14:paraId="143F3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1" w:type="dxa"/>
            <w:vAlign w:val="center"/>
          </w:tcPr>
          <w:p w14:paraId="473818D4">
            <w:pPr>
              <w:spacing w:before="20" w:after="20" w:line="320" w:lineRule="exact"/>
              <w:ind w:firstLine="0"/>
              <w:jc w:val="left"/>
            </w:pPr>
            <w:r>
              <w:rPr>
                <w:rFonts w:ascii="Times New Roman" w:hAnsi="Times New Roman" w:eastAsia="仿宋"/>
                <w:b w:val="0"/>
                <w:color w:val="000000"/>
                <w:sz w:val="21"/>
              </w:rPr>
              <w:t>课堂变革设计</w:t>
            </w:r>
          </w:p>
        </w:tc>
        <w:tc>
          <w:tcPr>
            <w:tcW w:w="907" w:type="dxa"/>
            <w:vAlign w:val="center"/>
          </w:tcPr>
          <w:p w14:paraId="44B59EDE">
            <w:pPr>
              <w:spacing w:before="20" w:after="20" w:line="320" w:lineRule="exact"/>
              <w:ind w:firstLine="0"/>
              <w:jc w:val="center"/>
            </w:pPr>
            <w:r>
              <w:rPr>
                <w:rFonts w:ascii="Times New Roman" w:hAnsi="Times New Roman" w:eastAsia="仿宋"/>
                <w:b w:val="0"/>
                <w:color w:val="000000"/>
                <w:sz w:val="21"/>
              </w:rPr>
              <w:t>25%</w:t>
            </w:r>
          </w:p>
        </w:tc>
        <w:tc>
          <w:tcPr>
            <w:tcW w:w="5556" w:type="dxa"/>
            <w:vAlign w:val="center"/>
          </w:tcPr>
          <w:p w14:paraId="76DC616F">
            <w:pPr>
              <w:spacing w:before="20" w:after="20" w:line="320" w:lineRule="exact"/>
              <w:ind w:firstLine="0"/>
              <w:jc w:val="left"/>
            </w:pPr>
            <w:r>
              <w:rPr>
                <w:rFonts w:ascii="Times New Roman" w:hAnsi="Times New Roman" w:eastAsia="仿宋"/>
                <w:b w:val="0"/>
                <w:color w:val="000000"/>
                <w:sz w:val="21"/>
              </w:rPr>
              <w:t>是否实质改变教学过程，教师、学生和人工智能的角色及使用边界是否清晰，学生是否有必要的独立认知加工</w:t>
            </w:r>
          </w:p>
        </w:tc>
      </w:tr>
      <w:tr w14:paraId="0555C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1" w:type="dxa"/>
            <w:vAlign w:val="center"/>
          </w:tcPr>
          <w:p w14:paraId="7D21AFD0">
            <w:pPr>
              <w:spacing w:before="20" w:after="20" w:line="320" w:lineRule="exact"/>
              <w:ind w:firstLine="0"/>
              <w:jc w:val="left"/>
            </w:pPr>
            <w:r>
              <w:rPr>
                <w:rFonts w:ascii="Times New Roman" w:hAnsi="Times New Roman" w:eastAsia="仿宋"/>
                <w:b w:val="0"/>
                <w:color w:val="000000"/>
                <w:sz w:val="21"/>
              </w:rPr>
              <w:t>研究设计与证据方案</w:t>
            </w:r>
          </w:p>
        </w:tc>
        <w:tc>
          <w:tcPr>
            <w:tcW w:w="907" w:type="dxa"/>
            <w:vAlign w:val="center"/>
          </w:tcPr>
          <w:p w14:paraId="2B2796EF">
            <w:pPr>
              <w:spacing w:before="20" w:after="20" w:line="320" w:lineRule="exact"/>
              <w:ind w:firstLine="0"/>
              <w:jc w:val="center"/>
            </w:pPr>
            <w:r>
              <w:rPr>
                <w:rFonts w:ascii="Times New Roman" w:hAnsi="Times New Roman" w:eastAsia="仿宋"/>
                <w:b w:val="0"/>
                <w:color w:val="000000"/>
                <w:sz w:val="21"/>
              </w:rPr>
              <w:t>25%</w:t>
            </w:r>
          </w:p>
        </w:tc>
        <w:tc>
          <w:tcPr>
            <w:tcW w:w="5556" w:type="dxa"/>
            <w:vAlign w:val="center"/>
          </w:tcPr>
          <w:p w14:paraId="27AEE369">
            <w:pPr>
              <w:spacing w:before="20" w:after="20" w:line="320" w:lineRule="exact"/>
              <w:ind w:firstLine="0"/>
              <w:jc w:val="left"/>
            </w:pPr>
            <w:r>
              <w:rPr>
                <w:rFonts w:ascii="Times New Roman" w:hAnsi="Times New Roman" w:eastAsia="仿宋"/>
                <w:b w:val="0"/>
                <w:color w:val="000000"/>
                <w:sz w:val="21"/>
              </w:rPr>
              <w:t>行动研究和准实验设计是否可行，测评工具能否直接反映能力，证据等级能否达到要求</w:t>
            </w:r>
          </w:p>
        </w:tc>
      </w:tr>
      <w:tr w14:paraId="57C41A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1" w:type="dxa"/>
            <w:vAlign w:val="center"/>
          </w:tcPr>
          <w:p w14:paraId="185EB770">
            <w:pPr>
              <w:spacing w:before="20" w:after="20" w:line="320" w:lineRule="exact"/>
              <w:ind w:firstLine="0"/>
              <w:jc w:val="left"/>
            </w:pPr>
            <w:r>
              <w:rPr>
                <w:rFonts w:ascii="Times New Roman" w:hAnsi="Times New Roman" w:eastAsia="仿宋"/>
                <w:b w:val="0"/>
                <w:color w:val="000000"/>
                <w:sz w:val="21"/>
              </w:rPr>
              <w:t>实施基础与保障</w:t>
            </w:r>
          </w:p>
        </w:tc>
        <w:tc>
          <w:tcPr>
            <w:tcW w:w="907" w:type="dxa"/>
            <w:vAlign w:val="center"/>
          </w:tcPr>
          <w:p w14:paraId="20F014E2">
            <w:pPr>
              <w:spacing w:before="20" w:after="20" w:line="320" w:lineRule="exact"/>
              <w:ind w:firstLine="0"/>
              <w:jc w:val="center"/>
            </w:pPr>
            <w:r>
              <w:rPr>
                <w:rFonts w:ascii="Times New Roman" w:hAnsi="Times New Roman" w:eastAsia="仿宋"/>
                <w:b w:val="0"/>
                <w:color w:val="000000"/>
                <w:sz w:val="21"/>
              </w:rPr>
              <w:t>15%</w:t>
            </w:r>
          </w:p>
        </w:tc>
        <w:tc>
          <w:tcPr>
            <w:tcW w:w="5556" w:type="dxa"/>
            <w:vAlign w:val="center"/>
          </w:tcPr>
          <w:p w14:paraId="2DD5E77C">
            <w:pPr>
              <w:spacing w:before="20" w:after="20" w:line="320" w:lineRule="exact"/>
              <w:ind w:firstLine="0"/>
              <w:jc w:val="left"/>
            </w:pPr>
            <w:r>
              <w:rPr>
                <w:rFonts w:ascii="Times New Roman" w:hAnsi="Times New Roman" w:eastAsia="仿宋"/>
                <w:b w:val="0"/>
                <w:color w:val="000000"/>
                <w:sz w:val="21"/>
              </w:rPr>
              <w:t>负责人是否承担课程教学，团队结构、平行班条件和学院支持是否到位</w:t>
            </w:r>
          </w:p>
        </w:tc>
      </w:tr>
      <w:tr w14:paraId="1CC87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2381" w:type="dxa"/>
            <w:vAlign w:val="center"/>
          </w:tcPr>
          <w:p w14:paraId="57C478F2">
            <w:pPr>
              <w:spacing w:before="20" w:after="20" w:line="320" w:lineRule="exact"/>
              <w:ind w:firstLine="0"/>
              <w:jc w:val="left"/>
            </w:pPr>
            <w:r>
              <w:rPr>
                <w:rFonts w:ascii="Times New Roman" w:hAnsi="Times New Roman" w:eastAsia="仿宋"/>
                <w:b w:val="0"/>
                <w:color w:val="000000"/>
                <w:sz w:val="21"/>
              </w:rPr>
              <w:t>成果可复制与推广价值</w:t>
            </w:r>
          </w:p>
        </w:tc>
        <w:tc>
          <w:tcPr>
            <w:tcW w:w="907" w:type="dxa"/>
            <w:vAlign w:val="center"/>
          </w:tcPr>
          <w:p w14:paraId="57878B56">
            <w:pPr>
              <w:spacing w:before="20" w:after="20" w:line="320" w:lineRule="exact"/>
              <w:ind w:firstLine="0"/>
              <w:jc w:val="center"/>
            </w:pPr>
            <w:r>
              <w:rPr>
                <w:rFonts w:ascii="Times New Roman" w:hAnsi="Times New Roman" w:eastAsia="仿宋"/>
                <w:b w:val="0"/>
                <w:color w:val="000000"/>
                <w:sz w:val="21"/>
              </w:rPr>
              <w:t>15%</w:t>
            </w:r>
          </w:p>
        </w:tc>
        <w:tc>
          <w:tcPr>
            <w:tcW w:w="5556" w:type="dxa"/>
            <w:vAlign w:val="center"/>
          </w:tcPr>
          <w:p w14:paraId="24FBA135">
            <w:pPr>
              <w:spacing w:before="20" w:after="20" w:line="320" w:lineRule="exact"/>
              <w:ind w:firstLine="0"/>
              <w:jc w:val="left"/>
            </w:pPr>
            <w:r>
              <w:rPr>
                <w:rFonts w:ascii="Times New Roman" w:hAnsi="Times New Roman" w:eastAsia="仿宋"/>
                <w:b w:val="0"/>
                <w:color w:val="000000"/>
                <w:sz w:val="21"/>
              </w:rPr>
              <w:t>能否形成可在专业、学院或学校推广的课堂模式、测评工具和案例</w:t>
            </w:r>
          </w:p>
        </w:tc>
      </w:tr>
    </w:tbl>
    <w:p w14:paraId="3772F689">
      <w:pPr>
        <w:spacing w:after="0" w:line="200" w:lineRule="exact"/>
      </w:pPr>
    </w:p>
    <w:p w14:paraId="0D7A0C70">
      <w:pPr>
        <w:spacing w:before="0" w:after="0" w:line="560" w:lineRule="exact"/>
        <w:ind w:left="0" w:firstLine="640"/>
        <w:jc w:val="both"/>
      </w:pPr>
      <w:r>
        <w:rPr>
          <w:rFonts w:ascii="Times New Roman" w:hAnsi="Times New Roman" w:eastAsia="仿宋"/>
          <w:b w:val="0"/>
          <w:color w:val="000000"/>
          <w:sz w:val="32"/>
        </w:rPr>
        <w:t>重大项目另须考察人才培养方案是否独立完整，能力矩阵和分学年能力进阶路径是否清晰。</w:t>
      </w:r>
    </w:p>
    <w:p w14:paraId="2894BCC0">
      <w:pPr>
        <w:pStyle w:val="3"/>
      </w:pPr>
      <w:r>
        <w:rPr>
          <w:rFonts w:ascii="Times New Roman" w:hAnsi="Times New Roman" w:eastAsia="黑体"/>
          <w:b w:val="0"/>
          <w:color w:val="000000"/>
          <w:sz w:val="32"/>
        </w:rPr>
        <w:t>七、不予支持的选题情形</w:t>
      </w:r>
    </w:p>
    <w:p w14:paraId="5A46C1AB">
      <w:pPr>
        <w:spacing w:before="0" w:after="0" w:line="560" w:lineRule="exact"/>
        <w:ind w:left="0" w:firstLine="640"/>
        <w:jc w:val="both"/>
      </w:pPr>
      <w:r>
        <w:rPr>
          <w:rFonts w:ascii="Times New Roman" w:hAnsi="Times New Roman" w:eastAsia="仿宋"/>
          <w:b w:val="0"/>
          <w:color w:val="000000"/>
          <w:sz w:val="32"/>
        </w:rPr>
        <w:t>1.仅更换或增加一种人工智能工具，教学目标、学习任务和评价方式基本不变。</w:t>
      </w:r>
    </w:p>
    <w:p w14:paraId="12A7C3C1">
      <w:pPr>
        <w:spacing w:before="0" w:after="0" w:line="560" w:lineRule="exact"/>
        <w:ind w:left="0" w:firstLine="640"/>
        <w:jc w:val="both"/>
      </w:pPr>
      <w:r>
        <w:rPr>
          <w:rFonts w:ascii="Times New Roman" w:hAnsi="Times New Roman" w:eastAsia="仿宋"/>
          <w:b w:val="0"/>
          <w:color w:val="000000"/>
          <w:sz w:val="32"/>
        </w:rPr>
        <w:t>2.主要工作是建设平台、资源库或知识图谱，与学生学习活动和能力提升缺少清晰联系。</w:t>
      </w:r>
    </w:p>
    <w:p w14:paraId="2C1CA0E8">
      <w:pPr>
        <w:spacing w:before="0" w:after="0" w:line="560" w:lineRule="exact"/>
        <w:ind w:left="0" w:firstLine="640"/>
        <w:jc w:val="both"/>
      </w:pPr>
      <w:r>
        <w:rPr>
          <w:rFonts w:ascii="Times New Roman" w:hAnsi="Times New Roman" w:eastAsia="仿宋"/>
          <w:b w:val="0"/>
          <w:color w:val="000000"/>
          <w:sz w:val="32"/>
        </w:rPr>
        <w:t>3.选题过于宏观，改革对象、实施课堂和责任主体不明确，难以在建设期内形成可验证成果。</w:t>
      </w:r>
    </w:p>
    <w:p w14:paraId="69A98CD3">
      <w:pPr>
        <w:spacing w:before="0" w:after="0" w:line="560" w:lineRule="exact"/>
        <w:ind w:left="0" w:firstLine="640"/>
        <w:jc w:val="both"/>
      </w:pPr>
      <w:r>
        <w:rPr>
          <w:rFonts w:ascii="Times New Roman" w:hAnsi="Times New Roman" w:eastAsia="仿宋"/>
          <w:b w:val="0"/>
          <w:color w:val="000000"/>
          <w:sz w:val="32"/>
        </w:rPr>
        <w:t>4.缺少真实课堂实践，仅进行问卷、访谈、现状分析或概念性模型构建。</w:t>
      </w:r>
    </w:p>
    <w:p w14:paraId="08C9CC36">
      <w:pPr>
        <w:spacing w:before="0" w:after="0" w:line="560" w:lineRule="exact"/>
        <w:ind w:left="0" w:firstLine="640"/>
        <w:jc w:val="both"/>
      </w:pPr>
      <w:r>
        <w:rPr>
          <w:rFonts w:ascii="Times New Roman" w:hAnsi="Times New Roman" w:eastAsia="仿宋"/>
          <w:b w:val="0"/>
          <w:color w:val="000000"/>
          <w:sz w:val="32"/>
        </w:rPr>
        <w:t>5.没有改革前基线和改革后成效评价方案，无法回答学生能力是否真正提升。</w:t>
      </w:r>
    </w:p>
    <w:p w14:paraId="33BA645C">
      <w:pPr>
        <w:spacing w:before="0" w:after="0" w:line="560" w:lineRule="exact"/>
        <w:ind w:left="0" w:firstLine="640"/>
        <w:jc w:val="both"/>
      </w:pPr>
      <w:r>
        <w:rPr>
          <w:rFonts w:ascii="Times New Roman" w:hAnsi="Times New Roman" w:eastAsia="仿宋"/>
          <w:b w:val="0"/>
          <w:color w:val="000000"/>
          <w:sz w:val="32"/>
        </w:rPr>
        <w:t>6.与已立项国家、省部级或校级项目内容高度重复，或以同一改革内容拆分多个项目重复申报。</w:t>
      </w:r>
      <w:bookmarkStart w:id="0" w:name="_GoBack"/>
      <w:bookmarkEnd w:id="0"/>
    </w:p>
    <w:sectPr>
      <w:footerReference r:id="rId5" w:type="default"/>
      <w:pgSz w:w="11906" w:h="16838"/>
      <w:pgMar w:top="1417" w:right="1474" w:bottom="1417" w:left="1587" w:header="720" w:footer="141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UI"/>
    <w:panose1 w:val="02020609040205080304"/>
    <w:charset w:val="80"/>
    <w:family w:val="roma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ＭＳ 明朝">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A82F9">
    <w:pPr>
      <w:pStyle w:val="24"/>
      <w:jc w:val="center"/>
    </w:pPr>
    <w:r>
      <w:rPr>
        <w:rFonts w:ascii="Times New Roman" w:hAnsi="Times New Roman" w:eastAsia="宋体"/>
        <w:b w:val="0"/>
        <w:color w:val="000000"/>
        <w:sz w:val="28"/>
      </w:rPr>
      <w:t xml:space="preserve">— </w:t>
    </w:r>
    <w:r>
      <w:rPr>
        <w:rFonts w:ascii="Times New Roman" w:hAnsi="Times New Roman" w:eastAsia="宋体"/>
        <w:b w:val="0"/>
        <w:color w:val="000000"/>
        <w:sz w:val="28"/>
      </w:rPr>
      <w:fldChar w:fldCharType="begin"/>
    </w:r>
    <w:r>
      <w:rPr>
        <w:rFonts w:ascii="Times New Roman" w:hAnsi="Times New Roman" w:eastAsia="宋体"/>
        <w:b w:val="0"/>
        <w:color w:val="000000"/>
        <w:sz w:val="28"/>
      </w:rPr>
      <w:instrText xml:space="preserve"> PAGE </w:instrText>
    </w:r>
    <w:r>
      <w:rPr>
        <w:rFonts w:ascii="Times New Roman" w:hAnsi="Times New Roman" w:eastAsia="宋体"/>
        <w:b w:val="0"/>
        <w:color w:val="000000"/>
        <w:sz w:val="28"/>
      </w:rPr>
      <w:fldChar w:fldCharType="end"/>
    </w:r>
    <w:r>
      <w:rPr>
        <w:rFonts w:ascii="Times New Roman" w:hAnsi="Times New Roman" w:eastAsia="宋体"/>
        <w:b w:val="0"/>
        <w:color w:val="000000"/>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A8C11B1"/>
    <w:rsid w:val="12024B85"/>
    <w:rsid w:val="15613339"/>
    <w:rsid w:val="1E3F393A"/>
    <w:rsid w:val="1EB939FD"/>
    <w:rsid w:val="29C97AB7"/>
    <w:rsid w:val="42703A65"/>
    <w:rsid w:val="433D03A6"/>
    <w:rsid w:val="57A2219C"/>
    <w:rsid w:val="65BC1F49"/>
    <w:rsid w:val="6877793F"/>
    <w:rsid w:val="6DB603CD"/>
    <w:rsid w:val="77631BC5"/>
    <w:rsid w:val="F1EEB0D9"/>
    <w:rsid w:val="FFE5604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仿宋" w:cstheme="minorBidi"/>
      <w:sz w:val="32"/>
      <w:szCs w:val="22"/>
      <w:lang w:val="en-US" w:eastAsia="en-US" w:bidi="ar-SA"/>
    </w:rPr>
  </w:style>
  <w:style w:type="paragraph" w:styleId="3">
    <w:name w:val="heading 1"/>
    <w:basedOn w:val="1"/>
    <w:next w:val="1"/>
    <w:link w:val="138"/>
    <w:qFormat/>
    <w:uiPriority w:val="9"/>
    <w:pPr>
      <w:keepNext/>
      <w:keepLines/>
      <w:spacing w:before="0" w:after="0" w:line="560" w:lineRule="exact"/>
      <w:ind w:firstLine="640"/>
      <w:outlineLvl w:val="0"/>
    </w:pPr>
    <w:rPr>
      <w:rFonts w:ascii="Times New Roman" w:hAnsi="Times New Roman" w:eastAsia="黑体"/>
      <w:bCs/>
      <w:color w:val="000000"/>
      <w:sz w:val="32"/>
      <w:szCs w:val="28"/>
    </w:rPr>
  </w:style>
  <w:style w:type="paragraph" w:styleId="4">
    <w:name w:val="heading 2"/>
    <w:basedOn w:val="1"/>
    <w:next w:val="1"/>
    <w:link w:val="139"/>
    <w:unhideWhenUsed/>
    <w:qFormat/>
    <w:uiPriority w:val="9"/>
    <w:pPr>
      <w:keepNext/>
      <w:keepLines/>
      <w:spacing w:before="0" w:after="0" w:line="560" w:lineRule="exact"/>
      <w:ind w:firstLine="640"/>
      <w:outlineLvl w:val="1"/>
    </w:pPr>
    <w:rPr>
      <w:rFonts w:ascii="Times New Roman" w:hAnsi="Times New Roman" w:eastAsia="楷体"/>
      <w:b/>
      <w:bCs/>
      <w:color w:val="000000"/>
      <w:sz w:val="32"/>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5188</Words>
  <Characters>5466</Characters>
  <Lines>0</Lines>
  <Paragraphs>0</Paragraphs>
  <TotalTime>8</TotalTime>
  <ScaleCrop>false</ScaleCrop>
  <LinksUpToDate>false</LinksUpToDate>
  <CharactersWithSpaces>5523</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2013-12-23T15:15:00Z</dcterms:created>
  <dc:creator>python-docx</dc:creator>
  <dc:description>generated by python-docx</dc:description>
  <cp:lastModifiedBy>Yfshao</cp:lastModifiedBy>
  <dcterms:modified xsi:type="dcterms:W3CDTF">2026-09-22T07:43:47Z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4645C696660DDC05C56AB06AD3C7C67F_43</vt:lpwstr>
  </property>
  <property fmtid="{D5CDD505-2E9C-101B-9397-08002B2CF9AE}" pid="4" name="KSOTemplateDocerSaveRecord">
    <vt:lpwstr>eyJoZGlkIjoiNjAyMGI2Y2UwMDc1ZTlmNGVmZjU2Njk2Mzg1NzA2ODQiLCJ1c2VySWQiOiI0NTE5Mjk0NTIifQ==</vt:lpwstr>
  </property>
</Properties>
</file>